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07" w:rsidRDefault="007D6207" w:rsidP="007D6207">
      <w:pPr>
        <w:pStyle w:val="Sinespaciado"/>
        <w:jc w:val="center"/>
        <w:rPr>
          <w:b/>
          <w:sz w:val="28"/>
          <w:szCs w:val="28"/>
        </w:rPr>
      </w:pPr>
    </w:p>
    <w:p w:rsidR="007D6207" w:rsidRDefault="007D6207" w:rsidP="007D6207">
      <w:pPr>
        <w:pStyle w:val="Sinespaciado"/>
        <w:jc w:val="center"/>
        <w:rPr>
          <w:b/>
          <w:sz w:val="28"/>
          <w:szCs w:val="28"/>
        </w:rPr>
      </w:pPr>
    </w:p>
    <w:p w:rsidR="00D453FA" w:rsidRDefault="00D453FA" w:rsidP="00D453FA">
      <w:pPr>
        <w:pStyle w:val="Sinespaciado"/>
        <w:jc w:val="center"/>
        <w:rPr>
          <w:b/>
          <w:sz w:val="28"/>
          <w:szCs w:val="28"/>
        </w:rPr>
      </w:pPr>
      <w:r>
        <w:rPr>
          <w:rFonts w:cstheme="minorHAnsi"/>
          <w:b/>
          <w:bCs/>
          <w:sz w:val="28"/>
          <w:szCs w:val="28"/>
        </w:rPr>
        <w:t>E</w:t>
      </w:r>
      <w:r w:rsidRPr="00EC5FAC">
        <w:rPr>
          <w:rFonts w:cstheme="minorHAnsi"/>
          <w:b/>
          <w:bCs/>
          <w:sz w:val="28"/>
          <w:szCs w:val="28"/>
        </w:rPr>
        <w:t xml:space="preserve">nsayos </w:t>
      </w:r>
      <w:r>
        <w:rPr>
          <w:rFonts w:cstheme="minorHAnsi"/>
          <w:b/>
          <w:bCs/>
          <w:sz w:val="28"/>
          <w:szCs w:val="28"/>
        </w:rPr>
        <w:t xml:space="preserve">no clínicos </w:t>
      </w:r>
      <w:r w:rsidRPr="00EC5FAC">
        <w:rPr>
          <w:rFonts w:cstheme="minorHAnsi"/>
          <w:b/>
          <w:bCs/>
          <w:sz w:val="28"/>
          <w:szCs w:val="28"/>
        </w:rPr>
        <w:t>de aditivos para piensos</w:t>
      </w:r>
      <w:r>
        <w:rPr>
          <w:b/>
          <w:sz w:val="28"/>
          <w:szCs w:val="28"/>
        </w:rPr>
        <w:t xml:space="preserve"> </w:t>
      </w:r>
    </w:p>
    <w:p w:rsidR="00DB01B4" w:rsidRDefault="00DB01B4" w:rsidP="00D453FA">
      <w:pPr>
        <w:pStyle w:val="Sinespaciado"/>
        <w:jc w:val="center"/>
        <w:rPr>
          <w:b/>
          <w:sz w:val="28"/>
          <w:szCs w:val="28"/>
        </w:rPr>
      </w:pPr>
    </w:p>
    <w:p w:rsidR="00BB33C7" w:rsidRPr="005C28C4" w:rsidRDefault="005C28C4" w:rsidP="005C28C4">
      <w:pPr>
        <w:widowControl w:val="0"/>
        <w:jc w:val="center"/>
        <w:rPr>
          <w:rFonts w:cstheme="minorHAnsi"/>
          <w:b/>
          <w:bCs/>
          <w:sz w:val="28"/>
          <w:szCs w:val="28"/>
        </w:rPr>
      </w:pPr>
      <w:r w:rsidRPr="00EC5FAC">
        <w:rPr>
          <w:rFonts w:cstheme="minorHAnsi"/>
          <w:b/>
          <w:bCs/>
          <w:sz w:val="28"/>
          <w:szCs w:val="28"/>
        </w:rPr>
        <w:t xml:space="preserve">ENAC ha sido designada por la Administración </w:t>
      </w:r>
      <w:r w:rsidR="00F04755">
        <w:rPr>
          <w:rFonts w:cstheme="minorHAnsi"/>
          <w:b/>
          <w:bCs/>
          <w:sz w:val="28"/>
          <w:szCs w:val="28"/>
        </w:rPr>
        <w:t xml:space="preserve">como órgano de evaluación y certificación </w:t>
      </w:r>
      <w:r w:rsidRPr="00EC5FAC">
        <w:rPr>
          <w:rFonts w:cstheme="minorHAnsi"/>
          <w:b/>
          <w:bCs/>
          <w:sz w:val="28"/>
          <w:szCs w:val="28"/>
        </w:rPr>
        <w:t xml:space="preserve"> de </w:t>
      </w:r>
      <w:r w:rsidR="00F04755">
        <w:rPr>
          <w:rFonts w:cstheme="minorHAnsi"/>
          <w:b/>
          <w:bCs/>
          <w:sz w:val="28"/>
          <w:szCs w:val="28"/>
        </w:rPr>
        <w:t xml:space="preserve">las </w:t>
      </w:r>
      <w:r w:rsidRPr="00EC5FAC">
        <w:rPr>
          <w:rFonts w:cstheme="minorHAnsi"/>
          <w:b/>
          <w:bCs/>
          <w:sz w:val="28"/>
          <w:szCs w:val="28"/>
        </w:rPr>
        <w:t>Buenas Prácticas  de Laboratorio</w:t>
      </w:r>
      <w:r>
        <w:rPr>
          <w:rFonts w:cstheme="minorHAnsi"/>
          <w:b/>
          <w:bCs/>
          <w:sz w:val="28"/>
          <w:szCs w:val="28"/>
        </w:rPr>
        <w:t xml:space="preserve"> (BPL)</w:t>
      </w:r>
      <w:r w:rsidRPr="00EC5FAC">
        <w:rPr>
          <w:rFonts w:cstheme="minorHAnsi"/>
          <w:b/>
          <w:bCs/>
          <w:sz w:val="28"/>
          <w:szCs w:val="28"/>
        </w:rPr>
        <w:t xml:space="preserve"> </w:t>
      </w:r>
    </w:p>
    <w:p w:rsidR="007D6207" w:rsidRDefault="007D6207" w:rsidP="007D6207">
      <w:pPr>
        <w:pStyle w:val="NormalWeb"/>
        <w:jc w:val="both"/>
        <w:rPr>
          <w:rFonts w:ascii="Calibri" w:hAnsi="Calibri"/>
          <w:sz w:val="22"/>
          <w:szCs w:val="22"/>
        </w:rPr>
      </w:pPr>
      <w:r>
        <w:rPr>
          <w:rFonts w:ascii="Calibri" w:hAnsi="Calibri"/>
          <w:sz w:val="22"/>
          <w:szCs w:val="22"/>
        </w:rPr>
        <w:t xml:space="preserve">Madrid, </w:t>
      </w:r>
      <w:r w:rsidR="00DB01B4">
        <w:rPr>
          <w:rFonts w:ascii="Calibri" w:hAnsi="Calibri"/>
          <w:sz w:val="22"/>
          <w:szCs w:val="22"/>
        </w:rPr>
        <w:t>25</w:t>
      </w:r>
      <w:r>
        <w:rPr>
          <w:rFonts w:ascii="Calibri" w:hAnsi="Calibri"/>
          <w:sz w:val="22"/>
          <w:szCs w:val="22"/>
        </w:rPr>
        <w:t xml:space="preserve"> de </w:t>
      </w:r>
      <w:r w:rsidR="005C28C4">
        <w:rPr>
          <w:rFonts w:ascii="Calibri" w:hAnsi="Calibri"/>
          <w:sz w:val="22"/>
          <w:szCs w:val="22"/>
        </w:rPr>
        <w:t>septiembre</w:t>
      </w:r>
      <w:r>
        <w:rPr>
          <w:rFonts w:ascii="Calibri" w:hAnsi="Calibri"/>
          <w:sz w:val="22"/>
          <w:szCs w:val="22"/>
        </w:rPr>
        <w:t xml:space="preserve"> de 2014</w:t>
      </w:r>
    </w:p>
    <w:p w:rsidR="005C28C4" w:rsidRPr="005C28C4" w:rsidRDefault="005C28C4" w:rsidP="005C28C4">
      <w:pPr>
        <w:pStyle w:val="Sinespaciado"/>
        <w:ind w:right="-2"/>
        <w:jc w:val="both"/>
        <w:rPr>
          <w:rFonts w:eastAsiaTheme="minorHAnsi"/>
        </w:rPr>
      </w:pPr>
      <w:r w:rsidRPr="005C28C4">
        <w:rPr>
          <w:rFonts w:eastAsiaTheme="minorHAnsi"/>
        </w:rPr>
        <w:t xml:space="preserve">La Entidad Nacional de Acreditación (ENAC) ha sido designada </w:t>
      </w:r>
      <w:r w:rsidR="00384E40" w:rsidRPr="005C28C4">
        <w:rPr>
          <w:rFonts w:eastAsiaTheme="minorHAnsi"/>
        </w:rPr>
        <w:t xml:space="preserve">como </w:t>
      </w:r>
      <w:r w:rsidR="00384E40" w:rsidRPr="005C28C4">
        <w:rPr>
          <w:rFonts w:eastAsiaTheme="minorHAnsi"/>
          <w:b/>
        </w:rPr>
        <w:t>órgano de evaluación y certificación de las Bu</w:t>
      </w:r>
      <w:bookmarkStart w:id="0" w:name="_GoBack"/>
      <w:bookmarkEnd w:id="0"/>
      <w:r w:rsidR="00384E40" w:rsidRPr="005C28C4">
        <w:rPr>
          <w:rFonts w:eastAsiaTheme="minorHAnsi"/>
          <w:b/>
        </w:rPr>
        <w:t>enas Prácticas de Laboratorio (BPL) en ensayos no clínicos de aditivos para piensos</w:t>
      </w:r>
      <w:r w:rsidR="00384E40">
        <w:rPr>
          <w:rFonts w:eastAsiaTheme="minorHAnsi"/>
          <w:b/>
        </w:rPr>
        <w:t xml:space="preserve"> </w:t>
      </w:r>
      <w:r w:rsidRPr="005C28C4">
        <w:rPr>
          <w:rFonts w:eastAsiaTheme="minorHAnsi"/>
        </w:rPr>
        <w:t>a través de la Orden PRE/1606/2014 por el Ministerio de la Presidencia a propuesta de los Ministerios de Agricultura, Alimentación y Medio Ambiente y del Ministerio de Sanidad, Servicios Sociales e Igualdad y con la previa aprobación del Ministerio de Hacienda y Administraciones Públicas</w:t>
      </w:r>
      <w:r w:rsidR="00384E40">
        <w:rPr>
          <w:rFonts w:eastAsiaTheme="minorHAnsi"/>
        </w:rPr>
        <w:t>.</w:t>
      </w:r>
      <w:r w:rsidRPr="005C28C4">
        <w:rPr>
          <w:rFonts w:eastAsiaTheme="minorHAnsi"/>
        </w:rPr>
        <w:t xml:space="preserve"> </w:t>
      </w:r>
      <w:r w:rsidR="000D7795">
        <w:rPr>
          <w:rFonts w:eastAsiaTheme="minorHAnsi"/>
        </w:rPr>
        <w:t xml:space="preserve"> </w:t>
      </w:r>
    </w:p>
    <w:p w:rsidR="00D453FA" w:rsidRDefault="00D453FA" w:rsidP="00D453FA">
      <w:pPr>
        <w:pStyle w:val="Sinespaciado"/>
        <w:ind w:right="-2"/>
        <w:jc w:val="both"/>
        <w:rPr>
          <w:rFonts w:eastAsiaTheme="minorHAnsi"/>
        </w:rPr>
      </w:pPr>
    </w:p>
    <w:p w:rsidR="00D453FA" w:rsidRPr="005C28C4" w:rsidRDefault="00D453FA" w:rsidP="00D453FA">
      <w:pPr>
        <w:pStyle w:val="Sinespaciado"/>
        <w:ind w:right="-2"/>
        <w:jc w:val="both"/>
        <w:rPr>
          <w:rFonts w:eastAsiaTheme="minorHAnsi"/>
        </w:rPr>
      </w:pPr>
      <w:r w:rsidRPr="005C28C4">
        <w:rPr>
          <w:rFonts w:eastAsiaTheme="minorHAnsi"/>
        </w:rPr>
        <w:t xml:space="preserve">ENAC </w:t>
      </w:r>
      <w:r w:rsidR="007A3252">
        <w:rPr>
          <w:rFonts w:eastAsiaTheme="minorHAnsi"/>
        </w:rPr>
        <w:t>evaluará y certificará</w:t>
      </w:r>
      <w:r w:rsidRPr="005C28C4">
        <w:rPr>
          <w:rFonts w:eastAsiaTheme="minorHAnsi"/>
        </w:rPr>
        <w:t xml:space="preserve"> que l</w:t>
      </w:r>
      <w:r>
        <w:rPr>
          <w:rFonts w:eastAsiaTheme="minorHAnsi"/>
        </w:rPr>
        <w:t>as</w:t>
      </w:r>
      <w:r w:rsidRPr="005C28C4">
        <w:rPr>
          <w:rFonts w:eastAsiaTheme="minorHAnsi"/>
        </w:rPr>
        <w:t xml:space="preserve"> </w:t>
      </w:r>
      <w:r>
        <w:rPr>
          <w:rFonts w:eastAsiaTheme="minorHAnsi"/>
        </w:rPr>
        <w:t xml:space="preserve">entidades </w:t>
      </w:r>
      <w:r w:rsidRPr="005C28C4">
        <w:rPr>
          <w:rFonts w:eastAsiaTheme="minorHAnsi"/>
        </w:rPr>
        <w:t xml:space="preserve">que llevan a cabo dichos </w:t>
      </w:r>
      <w:r>
        <w:rPr>
          <w:rFonts w:eastAsiaTheme="minorHAnsi"/>
        </w:rPr>
        <w:t xml:space="preserve">ensayos, requeridos para la autorización de los aditivos para piensos, </w:t>
      </w:r>
      <w:r w:rsidRPr="005C28C4">
        <w:rPr>
          <w:rFonts w:eastAsiaTheme="minorHAnsi"/>
        </w:rPr>
        <w:t xml:space="preserve">los han realizado de acuerdo a los principios de </w:t>
      </w:r>
      <w:proofErr w:type="spellStart"/>
      <w:r w:rsidRPr="005C28C4">
        <w:rPr>
          <w:rFonts w:eastAsiaTheme="minorHAnsi"/>
        </w:rPr>
        <w:t>BPL’s</w:t>
      </w:r>
      <w:proofErr w:type="spellEnd"/>
      <w:r w:rsidRPr="005C28C4">
        <w:rPr>
          <w:rFonts w:eastAsiaTheme="minorHAnsi"/>
        </w:rPr>
        <w:t xml:space="preserve">, </w:t>
      </w:r>
      <w:r>
        <w:rPr>
          <w:rFonts w:eastAsiaTheme="minorHAnsi"/>
        </w:rPr>
        <w:t xml:space="preserve">en </w:t>
      </w:r>
      <w:r w:rsidRPr="005C28C4">
        <w:rPr>
          <w:rFonts w:eastAsiaTheme="minorHAnsi"/>
        </w:rPr>
        <w:t xml:space="preserve"> cumplimiento </w:t>
      </w:r>
      <w:r>
        <w:rPr>
          <w:rFonts w:eastAsiaTheme="minorHAnsi"/>
        </w:rPr>
        <w:t xml:space="preserve">de </w:t>
      </w:r>
      <w:r w:rsidRPr="005C28C4">
        <w:rPr>
          <w:rFonts w:eastAsiaTheme="minorHAnsi"/>
        </w:rPr>
        <w:t>las directivas europeas que regulan esta actividad.</w:t>
      </w:r>
    </w:p>
    <w:p w:rsidR="009504A0" w:rsidRDefault="009504A0" w:rsidP="005C28C4">
      <w:pPr>
        <w:pStyle w:val="Sinespaciado"/>
        <w:ind w:right="-2"/>
        <w:jc w:val="both"/>
        <w:rPr>
          <w:rFonts w:eastAsiaTheme="minorHAnsi"/>
        </w:rPr>
      </w:pPr>
    </w:p>
    <w:p w:rsidR="009504A0" w:rsidRDefault="009504A0" w:rsidP="009504A0">
      <w:pPr>
        <w:pStyle w:val="Sinespaciado"/>
        <w:ind w:right="-2"/>
        <w:jc w:val="both"/>
        <w:rPr>
          <w:rFonts w:eastAsiaTheme="minorHAnsi"/>
        </w:rPr>
      </w:pPr>
      <w:r>
        <w:rPr>
          <w:rFonts w:eastAsiaTheme="minorHAnsi"/>
        </w:rPr>
        <w:t xml:space="preserve">Esto permitirá a las entidades españolas que realizan estos ensayos para aditivos y que demuestran su cumplimiento con las BPL, la posibilidad de realizar los ensayos a nivel internacional además de dar un servicio a las empresas españolas, fabricantes de los piensos, que pueden realizar en España sus ensayos y que, al cumplir con las BPL, podrán además abrir mercado y exportar a nivel internacional. </w:t>
      </w:r>
    </w:p>
    <w:p w:rsidR="009504A0" w:rsidRDefault="009504A0" w:rsidP="009504A0">
      <w:pPr>
        <w:pStyle w:val="Sinespaciado"/>
        <w:ind w:right="-2"/>
        <w:jc w:val="both"/>
        <w:rPr>
          <w:rFonts w:eastAsiaTheme="minorHAnsi"/>
        </w:rPr>
      </w:pPr>
    </w:p>
    <w:p w:rsidR="009504A0" w:rsidRPr="00DB01B4" w:rsidRDefault="00D453FA" w:rsidP="009504A0">
      <w:pPr>
        <w:pStyle w:val="Sinespaciado"/>
        <w:spacing w:after="200" w:line="276" w:lineRule="auto"/>
        <w:ind w:right="-2"/>
        <w:jc w:val="both"/>
        <w:rPr>
          <w:rFonts w:eastAsiaTheme="minorHAnsi"/>
        </w:rPr>
      </w:pPr>
      <w:r w:rsidRPr="00DB01B4">
        <w:rPr>
          <w:rFonts w:eastAsiaTheme="minorHAnsi"/>
        </w:rPr>
        <w:t xml:space="preserve">ENAC es desde 1995 el </w:t>
      </w:r>
      <w:r w:rsidR="00F4070F" w:rsidRPr="00DB01B4">
        <w:rPr>
          <w:rFonts w:eastAsiaTheme="minorHAnsi"/>
        </w:rPr>
        <w:t>órgano designado por la Administración para la evaluación de las Buenas Prácticas de Laboratorio (BPL) para los ensayos no clínicos de productos fitosanitarios y desde 2008 para los de sustancias químicas industriales</w:t>
      </w:r>
      <w:r w:rsidR="009504A0" w:rsidRPr="00DB01B4">
        <w:rPr>
          <w:rFonts w:eastAsiaTheme="minorHAnsi"/>
        </w:rPr>
        <w:t xml:space="preserve">, representado a España en estos ámbitos en los grupos de trabajo de la Organización para la Cooperación y el Desarrollo Económico (OCDE) y de la Unión Europea (UE).   </w:t>
      </w:r>
    </w:p>
    <w:p w:rsidR="009504A0" w:rsidRPr="00DB01B4" w:rsidRDefault="009504A0" w:rsidP="009504A0">
      <w:pPr>
        <w:pStyle w:val="Sinespaciado"/>
        <w:ind w:right="-2"/>
        <w:jc w:val="both"/>
        <w:rPr>
          <w:rFonts w:eastAsiaTheme="minorHAnsi"/>
        </w:rPr>
      </w:pPr>
      <w:r w:rsidRPr="00DB01B4">
        <w:rPr>
          <w:rFonts w:eastAsiaTheme="minorHAnsi"/>
        </w:rPr>
        <w:t>La OCDE ha establecido un acuerdo de “Aceptación Mutua de Datos” (MAD) para la Evaluación de Químicos, que tiene por objeto que los datos obtenidos en estudios no clínicos de seguridad sanitaria y ambiental requeridos reglamentariamente para registrar o autorizar productos sean aceptados en cualquier país firmante del MAD para evitar la repetición de los estudios o ensayos en los países de destino, eliminando de este modo las barreras técnicas al comercio, reduciendo así el número de ensayos, los costes y los tiempos. La adhesión plena a este Acuerdo permite que los datos generados por las entidades de ensayo inspeccionadas por ENAC y declaradas en conformidad con las BPL, sean aceptados por los países firmantes y, de este modo, minimizar las barreras al comercio.</w:t>
      </w:r>
    </w:p>
    <w:p w:rsidR="009504A0" w:rsidRDefault="009504A0" w:rsidP="009504A0">
      <w:pPr>
        <w:pStyle w:val="Sinespaciado"/>
        <w:ind w:right="-2"/>
        <w:jc w:val="both"/>
        <w:rPr>
          <w:rFonts w:eastAsiaTheme="minorHAnsi"/>
          <w:color w:val="1F497D" w:themeColor="text2"/>
        </w:rPr>
      </w:pPr>
    </w:p>
    <w:p w:rsidR="0075428E" w:rsidRPr="00823789" w:rsidRDefault="007A3252" w:rsidP="005C28C4">
      <w:pPr>
        <w:pStyle w:val="Sinespaciado"/>
        <w:spacing w:after="200" w:line="276" w:lineRule="auto"/>
        <w:ind w:right="-2"/>
        <w:jc w:val="both"/>
        <w:rPr>
          <w:rFonts w:asciiTheme="minorHAnsi" w:hAnsiTheme="minorHAnsi" w:cs="Arial"/>
        </w:rPr>
      </w:pPr>
      <w:r>
        <w:rPr>
          <w:rFonts w:cs="Tahoma"/>
          <w:noProof/>
        </w:rPr>
        <w:t xml:space="preserve"> </w:t>
      </w:r>
      <w:r w:rsidR="0075428E" w:rsidRPr="00823789">
        <w:rPr>
          <w:rFonts w:cs="Tahoma"/>
          <w:b/>
          <w:noProof/>
          <w:u w:val="single"/>
        </w:rPr>
        <w:t>Sobre ENAC</w:t>
      </w:r>
    </w:p>
    <w:p w:rsidR="007D6207" w:rsidRDefault="0075428E" w:rsidP="0075428E">
      <w:pPr>
        <w:spacing w:after="0"/>
        <w:jc w:val="both"/>
        <w:rPr>
          <w:rFonts w:eastAsia="Times New Roman" w:cs="Arial"/>
        </w:rPr>
      </w:pPr>
      <w:r w:rsidRPr="005F53BF">
        <w:rPr>
          <w:rFonts w:eastAsia="Times New Roman" w:cs="Arial"/>
        </w:rPr>
        <w:t>La Entidad Nacional de Acreditación es la entidad designada por el estado español como único Organismo Nacional de Acreditación, de acuerdo con lo esta</w:t>
      </w:r>
      <w:r w:rsidR="00506179">
        <w:rPr>
          <w:rFonts w:eastAsia="Times New Roman" w:cs="Arial"/>
        </w:rPr>
        <w:t>blecido en el Reglamento (CE) n</w:t>
      </w:r>
      <w:r w:rsidRPr="005F53BF">
        <w:rPr>
          <w:rFonts w:eastAsia="Times New Roman" w:cs="Arial"/>
        </w:rPr>
        <w:t>º</w:t>
      </w:r>
      <w:r w:rsidR="002B3D3A">
        <w:rPr>
          <w:rFonts w:eastAsia="Times New Roman" w:cs="Arial"/>
        </w:rPr>
        <w:t xml:space="preserve"> </w:t>
      </w:r>
      <w:r w:rsidRPr="005F53BF">
        <w:rPr>
          <w:rFonts w:eastAsia="Times New Roman" w:cs="Arial"/>
        </w:rPr>
        <w:t>765/2008 del Parlamento Europeo y el Consejo, de 9 de Julio de 2008.</w:t>
      </w:r>
    </w:p>
    <w:p w:rsidR="009A316B" w:rsidRDefault="009A316B" w:rsidP="0075428E">
      <w:pPr>
        <w:spacing w:after="0"/>
        <w:jc w:val="both"/>
        <w:rPr>
          <w:rFonts w:eastAsia="Times New Roman" w:cs="Arial"/>
        </w:rPr>
      </w:pPr>
    </w:p>
    <w:p w:rsidR="009504A0" w:rsidRDefault="009504A0" w:rsidP="0075428E">
      <w:pPr>
        <w:spacing w:after="0"/>
        <w:jc w:val="both"/>
        <w:rPr>
          <w:rFonts w:eastAsia="Times New Roman" w:cs="Arial"/>
        </w:rPr>
      </w:pPr>
    </w:p>
    <w:p w:rsidR="009504A0" w:rsidRDefault="009504A0" w:rsidP="0075428E">
      <w:pPr>
        <w:spacing w:after="0"/>
        <w:jc w:val="both"/>
        <w:rPr>
          <w:rFonts w:eastAsia="Times New Roman" w:cs="Arial"/>
        </w:rPr>
      </w:pPr>
    </w:p>
    <w:p w:rsidR="00805232" w:rsidRDefault="0075428E" w:rsidP="0075428E">
      <w:pPr>
        <w:spacing w:after="0"/>
        <w:jc w:val="both"/>
        <w:rPr>
          <w:rFonts w:eastAsia="Times New Roman" w:cs="Arial"/>
        </w:rPr>
      </w:pPr>
      <w:r w:rsidRPr="0047550B">
        <w:rPr>
          <w:rFonts w:eastAsia="Times New Roman" w:cs="Arial"/>
        </w:rPr>
        <w:t xml:space="preserve">ENAC desarrolla su actividad en el ámbito estatal evaluando, a través de un sistema conforme a normas internacionales, la competencia técnica de las organizaciones que ofrecen servicios de Evaluación de la Conformidad (laboratorios, entidades de certificación e inspección, verificadores, etc.) que operen en cualquier sector, sea en el ámbito voluntario o en el obligatorio cuando reglamentariamente así se establezca. </w:t>
      </w:r>
    </w:p>
    <w:p w:rsidR="00B218F6" w:rsidRDefault="00B218F6" w:rsidP="00D436B9">
      <w:pPr>
        <w:spacing w:after="0"/>
        <w:jc w:val="both"/>
        <w:rPr>
          <w:rFonts w:eastAsia="Times New Roman" w:cs="Arial"/>
        </w:rPr>
      </w:pPr>
    </w:p>
    <w:p w:rsidR="006462C1" w:rsidRDefault="0075428E" w:rsidP="00D436B9">
      <w:pPr>
        <w:spacing w:after="0"/>
        <w:jc w:val="both"/>
        <w:rPr>
          <w:rFonts w:eastAsia="Times New Roman" w:cs="Arial"/>
        </w:rPr>
      </w:pPr>
      <w:r w:rsidRPr="0047550B">
        <w:rPr>
          <w:rFonts w:eastAsia="Times New Roman" w:cs="Arial"/>
        </w:rPr>
        <w:t>ENAC es el miembro español de la Infraestructura Europea de Acreditación creada por el mismo Reglamento CE nº</w:t>
      </w:r>
      <w:r w:rsidR="00506179">
        <w:rPr>
          <w:rFonts w:eastAsia="Times New Roman" w:cs="Arial"/>
        </w:rPr>
        <w:t xml:space="preserve"> </w:t>
      </w:r>
      <w:r w:rsidRPr="0047550B">
        <w:rPr>
          <w:rFonts w:eastAsia="Times New Roman" w:cs="Arial"/>
        </w:rPr>
        <w:t>765/2008 y, como tal, miembro de EA (</w:t>
      </w:r>
      <w:proofErr w:type="spellStart"/>
      <w:r w:rsidRPr="0047550B">
        <w:rPr>
          <w:rFonts w:eastAsia="Times New Roman" w:cs="Arial"/>
        </w:rPr>
        <w:t>European</w:t>
      </w:r>
      <w:proofErr w:type="spellEnd"/>
      <w:r w:rsidRPr="0047550B">
        <w:rPr>
          <w:rFonts w:eastAsia="Times New Roman" w:cs="Arial"/>
        </w:rPr>
        <w:t xml:space="preserve"> Co-</w:t>
      </w:r>
      <w:proofErr w:type="spellStart"/>
      <w:r w:rsidRPr="0047550B">
        <w:rPr>
          <w:rFonts w:eastAsia="Times New Roman" w:cs="Arial"/>
        </w:rPr>
        <w:t>operation</w:t>
      </w:r>
      <w:proofErr w:type="spellEnd"/>
      <w:r w:rsidRPr="0047550B">
        <w:rPr>
          <w:rFonts w:eastAsia="Times New Roman" w:cs="Arial"/>
        </w:rPr>
        <w:t xml:space="preserve"> </w:t>
      </w:r>
      <w:proofErr w:type="spellStart"/>
      <w:r w:rsidRPr="0047550B">
        <w:rPr>
          <w:rFonts w:eastAsia="Times New Roman" w:cs="Arial"/>
        </w:rPr>
        <w:t>for</w:t>
      </w:r>
      <w:proofErr w:type="spellEnd"/>
      <w:r w:rsidRPr="0047550B">
        <w:rPr>
          <w:rFonts w:eastAsia="Times New Roman" w:cs="Arial"/>
        </w:rPr>
        <w:t xml:space="preserve"> </w:t>
      </w:r>
      <w:proofErr w:type="spellStart"/>
      <w:r w:rsidRPr="0047550B">
        <w:rPr>
          <w:rFonts w:eastAsia="Times New Roman" w:cs="Arial"/>
        </w:rPr>
        <w:t>Accreditation</w:t>
      </w:r>
      <w:proofErr w:type="spellEnd"/>
      <w:r w:rsidRPr="0047550B">
        <w:rPr>
          <w:rFonts w:eastAsia="Times New Roman" w:cs="Arial"/>
        </w:rPr>
        <w:t xml:space="preserve">), y firmante de los Acuerdos Multilaterales de Reconocimiento en materia de acreditación, suscritos por las entidades de acreditación de 60 países. </w:t>
      </w:r>
    </w:p>
    <w:p w:rsidR="00384E40" w:rsidRDefault="00384E40" w:rsidP="00D436B9">
      <w:pPr>
        <w:spacing w:after="0"/>
        <w:jc w:val="both"/>
        <w:rPr>
          <w:rFonts w:eastAsia="Times New Roman" w:cs="Arial"/>
        </w:rPr>
      </w:pPr>
    </w:p>
    <w:p w:rsidR="00384E40" w:rsidRDefault="00384E40" w:rsidP="00D436B9">
      <w:pPr>
        <w:spacing w:after="0"/>
        <w:jc w:val="both"/>
        <w:rPr>
          <w:rFonts w:eastAsia="Times New Roman" w:cs="Arial"/>
        </w:rPr>
      </w:pPr>
      <w:r>
        <w:rPr>
          <w:rFonts w:eastAsia="Times New Roman" w:cs="Arial"/>
        </w:rPr>
        <w:t xml:space="preserve">Asimismo, </w:t>
      </w:r>
      <w:r w:rsidR="007A036D">
        <w:rPr>
          <w:rFonts w:eastAsia="Times New Roman" w:cs="Arial"/>
        </w:rPr>
        <w:t xml:space="preserve">ENAC </w:t>
      </w:r>
      <w:r>
        <w:rPr>
          <w:rFonts w:eastAsia="Times New Roman" w:cs="Arial"/>
        </w:rPr>
        <w:t>como organismo de evaluación y certificación de las BPL</w:t>
      </w:r>
      <w:r w:rsidR="007A036D">
        <w:rPr>
          <w:rFonts w:eastAsia="Times New Roman" w:cs="Arial"/>
        </w:rPr>
        <w:t>,</w:t>
      </w:r>
      <w:r>
        <w:rPr>
          <w:rFonts w:eastAsia="Times New Roman" w:cs="Arial"/>
        </w:rPr>
        <w:t xml:space="preserve"> ha sido evaluado por la OCDE con objeto de garantizar el mantenimiento del Acuerdo de la Aceptación Mutua de los </w:t>
      </w:r>
      <w:r w:rsidR="007A036D">
        <w:rPr>
          <w:rFonts w:eastAsia="Times New Roman" w:cs="Arial"/>
        </w:rPr>
        <w:t>D</w:t>
      </w:r>
      <w:r>
        <w:rPr>
          <w:rFonts w:eastAsia="Times New Roman" w:cs="Arial"/>
        </w:rPr>
        <w:t>atos (MAD) en el que participan 37 países.</w:t>
      </w:r>
    </w:p>
    <w:p w:rsidR="00D436B9" w:rsidRPr="00D436B9" w:rsidRDefault="00384E40" w:rsidP="00D436B9">
      <w:pPr>
        <w:spacing w:after="0"/>
        <w:jc w:val="both"/>
        <w:rPr>
          <w:rFonts w:eastAsia="Times New Roman" w:cs="Arial"/>
        </w:rPr>
      </w:pPr>
      <w:r>
        <w:rPr>
          <w:rFonts w:eastAsia="Times New Roman" w:cs="Arial"/>
        </w:rPr>
        <w:t xml:space="preserve"> </w:t>
      </w:r>
    </w:p>
    <w:p w:rsidR="0075428E" w:rsidRDefault="0075428E" w:rsidP="00513F2E">
      <w:pPr>
        <w:spacing w:after="120" w:line="240" w:lineRule="auto"/>
        <w:jc w:val="both"/>
      </w:pPr>
      <w:r w:rsidRPr="00823789">
        <w:rPr>
          <w:rFonts w:cs="Arial"/>
        </w:rPr>
        <w:t xml:space="preserve">Para más información consulte la página web de ENAC: </w:t>
      </w:r>
      <w:hyperlink r:id="rId9" w:history="1">
        <w:r w:rsidRPr="00F6450A">
          <w:rPr>
            <w:rStyle w:val="Hipervnculo"/>
            <w:rFonts w:cs="Arial"/>
          </w:rPr>
          <w:t>www.enac.es</w:t>
        </w:r>
      </w:hyperlink>
    </w:p>
    <w:p w:rsidR="00527A2E" w:rsidRDefault="0012718E" w:rsidP="00527A2E">
      <w:pPr>
        <w:spacing w:line="288" w:lineRule="auto"/>
        <w:ind w:left="851" w:right="707"/>
        <w:jc w:val="center"/>
        <w:rPr>
          <w:rFonts w:ascii="Calibri" w:eastAsia="Calibri" w:hAnsi="Calibri" w:cs="Times New Roman"/>
          <w:b/>
          <w:sz w:val="28"/>
          <w:szCs w:val="28"/>
        </w:rPr>
      </w:pPr>
      <w:r>
        <w:rPr>
          <w:rFonts w:eastAsiaTheme="minorHAnsi"/>
          <w:noProof/>
        </w:rPr>
        <mc:AlternateContent>
          <mc:Choice Requires="wps">
            <w:drawing>
              <wp:anchor distT="0" distB="0" distL="114300" distR="114300" simplePos="0" relativeHeight="251660288" behindDoc="0" locked="0" layoutInCell="1" allowOverlap="1">
                <wp:simplePos x="0" y="0"/>
                <wp:positionH relativeFrom="column">
                  <wp:posOffset>3477260</wp:posOffset>
                </wp:positionH>
                <wp:positionV relativeFrom="paragraph">
                  <wp:posOffset>96520</wp:posOffset>
                </wp:positionV>
                <wp:extent cx="2178685" cy="109410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1094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D7D" w:rsidRPr="00FE6AA3" w:rsidRDefault="003C5D7D" w:rsidP="00C73461">
                            <w:pPr>
                              <w:spacing w:after="0" w:line="240" w:lineRule="auto"/>
                              <w:ind w:right="21"/>
                              <w:rPr>
                                <w:rFonts w:cs="Tahoma"/>
                                <w:b/>
                              </w:rPr>
                            </w:pPr>
                            <w:r w:rsidRPr="00FE6AA3">
                              <w:rPr>
                                <w:rFonts w:cs="Tahoma"/>
                                <w:b/>
                              </w:rPr>
                              <w:t>Contacto de Prensa</w:t>
                            </w:r>
                          </w:p>
                          <w:p w:rsidR="003C5D7D" w:rsidRPr="00FE6AA3" w:rsidRDefault="003C5D7D" w:rsidP="00C73461">
                            <w:pPr>
                              <w:spacing w:after="0" w:line="240" w:lineRule="auto"/>
                              <w:ind w:right="21"/>
                              <w:rPr>
                                <w:rFonts w:cs="Tahoma"/>
                              </w:rPr>
                            </w:pPr>
                            <w:r w:rsidRPr="00FE6AA3">
                              <w:rPr>
                                <w:rFonts w:cs="Tahoma"/>
                              </w:rPr>
                              <w:t>Departamento de Comunicación</w:t>
                            </w:r>
                          </w:p>
                          <w:p w:rsidR="003C5D7D" w:rsidRPr="00FE6AA3" w:rsidRDefault="003C5D7D" w:rsidP="00C73461">
                            <w:pPr>
                              <w:spacing w:after="0" w:line="240" w:lineRule="auto"/>
                              <w:ind w:right="21"/>
                              <w:rPr>
                                <w:rFonts w:cs="Tahoma"/>
                              </w:rPr>
                            </w:pPr>
                            <w:r w:rsidRPr="00FE6AA3">
                              <w:rPr>
                                <w:rFonts w:cs="Tahoma"/>
                              </w:rPr>
                              <w:t>Isabel Coque</w:t>
                            </w:r>
                          </w:p>
                          <w:p w:rsidR="003C5D7D" w:rsidRPr="00FE6AA3" w:rsidRDefault="003C5D7D" w:rsidP="00C73461">
                            <w:pPr>
                              <w:spacing w:after="0" w:line="240" w:lineRule="auto"/>
                              <w:ind w:right="21"/>
                              <w:rPr>
                                <w:rFonts w:cs="Tahoma"/>
                              </w:rPr>
                            </w:pPr>
                            <w:r w:rsidRPr="00FE6AA3">
                              <w:rPr>
                                <w:rFonts w:cs="Tahoma"/>
                              </w:rPr>
                              <w:t xml:space="preserve">Tfno. 91 457 32 89 </w:t>
                            </w:r>
                          </w:p>
                          <w:p w:rsidR="003C5D7D" w:rsidRPr="00FE6AA3" w:rsidRDefault="00DB01B4" w:rsidP="00C73461">
                            <w:pPr>
                              <w:spacing w:after="0"/>
                              <w:ind w:right="21"/>
                              <w:rPr>
                                <w:rFonts w:cs="Tahoma"/>
                              </w:rPr>
                            </w:pPr>
                            <w:hyperlink r:id="rId10" w:history="1">
                              <w:r w:rsidR="003C5D7D" w:rsidRPr="00FE6AA3">
                                <w:rPr>
                                  <w:rStyle w:val="Hipervnculo"/>
                                  <w:rFonts w:cs="Tahoma"/>
                                </w:rPr>
                                <w:t>icoque@enac.es</w:t>
                              </w:r>
                            </w:hyperlink>
                          </w:p>
                          <w:p w:rsidR="003C5D7D" w:rsidRPr="00F53336" w:rsidRDefault="003C5D7D" w:rsidP="00C73461">
                            <w:pPr>
                              <w:spacing w:after="0"/>
                              <w:ind w:right="21"/>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3.8pt;margin-top:7.6pt;width:171.55pt;height:8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Ybgg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" stroked="f">
                <v:textbox>
                  <w:txbxContent>
                    <w:p w:rsidR="003C5D7D" w:rsidRPr="00FE6AA3" w:rsidRDefault="003C5D7D" w:rsidP="00C73461">
                      <w:pPr>
                        <w:spacing w:after="0" w:line="240" w:lineRule="auto"/>
                        <w:ind w:right="21"/>
                        <w:rPr>
                          <w:rFonts w:cs="Tahoma"/>
                          <w:b/>
                        </w:rPr>
                      </w:pPr>
                      <w:r w:rsidRPr="00FE6AA3">
                        <w:rPr>
                          <w:rFonts w:cs="Tahoma"/>
                          <w:b/>
                        </w:rPr>
                        <w:t>Contacto de Prensa</w:t>
                      </w:r>
                    </w:p>
                    <w:p w:rsidR="003C5D7D" w:rsidRPr="00FE6AA3" w:rsidRDefault="003C5D7D" w:rsidP="00C73461">
                      <w:pPr>
                        <w:spacing w:after="0" w:line="240" w:lineRule="auto"/>
                        <w:ind w:right="21"/>
                        <w:rPr>
                          <w:rFonts w:cs="Tahoma"/>
                        </w:rPr>
                      </w:pPr>
                      <w:r w:rsidRPr="00FE6AA3">
                        <w:rPr>
                          <w:rFonts w:cs="Tahoma"/>
                        </w:rPr>
                        <w:t>Departamento de Comunicación</w:t>
                      </w:r>
                    </w:p>
                    <w:p w:rsidR="003C5D7D" w:rsidRPr="00FE6AA3" w:rsidRDefault="003C5D7D" w:rsidP="00C73461">
                      <w:pPr>
                        <w:spacing w:after="0" w:line="240" w:lineRule="auto"/>
                        <w:ind w:right="21"/>
                        <w:rPr>
                          <w:rFonts w:cs="Tahoma"/>
                        </w:rPr>
                      </w:pPr>
                      <w:r w:rsidRPr="00FE6AA3">
                        <w:rPr>
                          <w:rFonts w:cs="Tahoma"/>
                        </w:rPr>
                        <w:t>Isabel Coque</w:t>
                      </w:r>
                    </w:p>
                    <w:p w:rsidR="003C5D7D" w:rsidRPr="00FE6AA3" w:rsidRDefault="003C5D7D" w:rsidP="00C73461">
                      <w:pPr>
                        <w:spacing w:after="0" w:line="240" w:lineRule="auto"/>
                        <w:ind w:right="21"/>
                        <w:rPr>
                          <w:rFonts w:cs="Tahoma"/>
                        </w:rPr>
                      </w:pPr>
                      <w:r w:rsidRPr="00FE6AA3">
                        <w:rPr>
                          <w:rFonts w:cs="Tahoma"/>
                        </w:rPr>
                        <w:t xml:space="preserve">Tfno. 91 457 32 89 </w:t>
                      </w:r>
                    </w:p>
                    <w:p w:rsidR="003C5D7D" w:rsidRPr="00FE6AA3" w:rsidRDefault="00B8681F" w:rsidP="00C73461">
                      <w:pPr>
                        <w:spacing w:after="0"/>
                        <w:ind w:right="21"/>
                        <w:rPr>
                          <w:rFonts w:cs="Tahoma"/>
                        </w:rPr>
                      </w:pPr>
                      <w:hyperlink r:id="rId12" w:history="1">
                        <w:r w:rsidR="003C5D7D" w:rsidRPr="00FE6AA3">
                          <w:rPr>
                            <w:rStyle w:val="Hipervnculo"/>
                            <w:rFonts w:cs="Tahoma"/>
                          </w:rPr>
                          <w:t>icoque@enac.es</w:t>
                        </w:r>
                      </w:hyperlink>
                    </w:p>
                    <w:p w:rsidR="003C5D7D" w:rsidRPr="00F53336" w:rsidRDefault="003C5D7D" w:rsidP="00C73461">
                      <w:pPr>
                        <w:spacing w:after="0"/>
                        <w:ind w:right="21"/>
                        <w:rPr>
                          <w:rFonts w:ascii="Tahoma" w:hAnsi="Tahoma" w:cs="Tahoma"/>
                          <w:sz w:val="20"/>
                          <w:szCs w:val="20"/>
                        </w:rPr>
                      </w:pPr>
                    </w:p>
                  </w:txbxContent>
                </v:textbox>
              </v:shape>
            </w:pict>
          </mc:Fallback>
        </mc:AlternateContent>
      </w:r>
    </w:p>
    <w:sectPr w:rsidR="00527A2E" w:rsidSect="004733DF">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1E" w:rsidRDefault="00A14F1E" w:rsidP="00527A2E">
      <w:pPr>
        <w:spacing w:after="0" w:line="240" w:lineRule="auto"/>
      </w:pPr>
      <w:r>
        <w:separator/>
      </w:r>
    </w:p>
  </w:endnote>
  <w:endnote w:type="continuationSeparator" w:id="0">
    <w:p w:rsidR="00A14F1E" w:rsidRDefault="00A14F1E" w:rsidP="0052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1E" w:rsidRDefault="00A14F1E" w:rsidP="00527A2E">
      <w:pPr>
        <w:spacing w:after="0" w:line="240" w:lineRule="auto"/>
      </w:pPr>
      <w:r>
        <w:separator/>
      </w:r>
    </w:p>
  </w:footnote>
  <w:footnote w:type="continuationSeparator" w:id="0">
    <w:p w:rsidR="00A14F1E" w:rsidRDefault="00A14F1E" w:rsidP="00527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D7D" w:rsidRDefault="003C5D7D" w:rsidP="00527A2E">
    <w:pPr>
      <w:pStyle w:val="Ttulo1"/>
    </w:pPr>
    <w:r>
      <w:rPr>
        <w:rFonts w:ascii="Arial" w:hAnsi="Arial" w:cs="Arial"/>
        <w:noProof/>
      </w:rPr>
      <w:drawing>
        <wp:anchor distT="0" distB="0" distL="114300" distR="114300" simplePos="0" relativeHeight="251661312" behindDoc="0" locked="0" layoutInCell="1" allowOverlap="1">
          <wp:simplePos x="0" y="0"/>
          <wp:positionH relativeFrom="column">
            <wp:posOffset>4502785</wp:posOffset>
          </wp:positionH>
          <wp:positionV relativeFrom="paragraph">
            <wp:posOffset>-217170</wp:posOffset>
          </wp:positionV>
          <wp:extent cx="1323340" cy="728980"/>
          <wp:effectExtent l="19050" t="0" r="0" b="0"/>
          <wp:wrapTight wrapText="bothSides">
            <wp:wrapPolygon edited="0">
              <wp:start x="9328" y="0"/>
              <wp:lineTo x="622" y="7902"/>
              <wp:lineTo x="-311" y="20885"/>
              <wp:lineTo x="21455" y="20885"/>
              <wp:lineTo x="21455" y="7902"/>
              <wp:lineTo x="11505" y="0"/>
              <wp:lineTo x="9328" y="0"/>
            </wp:wrapPolygon>
          </wp:wrapTight>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AC COLOR FONDO TRANSPARENTE"/>
                  <pic:cNvPicPr>
                    <a:picLocks noChangeAspect="1" noChangeArrowheads="1"/>
                  </pic:cNvPicPr>
                </pic:nvPicPr>
                <pic:blipFill>
                  <a:blip r:embed="rId1"/>
                  <a:srcRect/>
                  <a:stretch>
                    <a:fillRect/>
                  </a:stretch>
                </pic:blipFill>
                <pic:spPr bwMode="auto">
                  <a:xfrm>
                    <a:off x="0" y="0"/>
                    <a:ext cx="1323340" cy="728980"/>
                  </a:xfrm>
                  <a:prstGeom prst="rect">
                    <a:avLst/>
                  </a:prstGeom>
                  <a:noFill/>
                  <a:ln w="9525">
                    <a:noFill/>
                    <a:miter lim="800000"/>
                    <a:headEnd/>
                    <a:tailEnd/>
                  </a:ln>
                </pic:spPr>
              </pic:pic>
            </a:graphicData>
          </a:graphic>
        </wp:anchor>
      </w:drawing>
    </w:r>
    <w:r w:rsidR="00FD4B66">
      <w:rPr>
        <w:rFonts w:ascii="Calibri" w:hAnsi="Calibri" w:cs="Arial"/>
        <w:color w:val="595959"/>
        <w:sz w:val="40"/>
        <w:szCs w:val="40"/>
      </w:rPr>
      <w:t>NOTA</w:t>
    </w:r>
    <w:r w:rsidRPr="00181A91">
      <w:rPr>
        <w:rFonts w:ascii="Calibri" w:hAnsi="Calibri" w:cs="Arial"/>
        <w:color w:val="595959"/>
        <w:sz w:val="40"/>
        <w:szCs w:val="40"/>
      </w:rPr>
      <w:t xml:space="preserve"> DE PRENSA</w:t>
    </w:r>
    <w:r w:rsidR="0012718E">
      <w:rPr>
        <w:noProof/>
      </w:rPr>
      <mc:AlternateContent>
        <mc:Choice Requires="wps">
          <w:drawing>
            <wp:anchor distT="4294967295" distB="4294967295" distL="114300" distR="114300" simplePos="0" relativeHeight="251660288" behindDoc="0" locked="0" layoutInCell="1" allowOverlap="1">
              <wp:simplePos x="0" y="0"/>
              <wp:positionH relativeFrom="column">
                <wp:posOffset>-51435</wp:posOffset>
              </wp:positionH>
              <wp:positionV relativeFrom="paragraph">
                <wp:posOffset>383539</wp:posOffset>
              </wp:positionV>
              <wp:extent cx="1948180" cy="0"/>
              <wp:effectExtent l="0" t="0" r="1397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straightConnector1">
                        <a:avLst/>
                      </a:prstGeom>
                      <a:noFill/>
                      <a:ln w="127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05pt;margin-top:30.2pt;width:153.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" strokecolor="#f2f2f2" strokeweight="1pt">
              <v:shadow color="#7f7f7f" opacity=".5" offset="1pt"/>
            </v:shape>
          </w:pict>
        </mc:Fallback>
      </mc:AlternateContent>
    </w:r>
  </w:p>
  <w:p w:rsidR="003C5D7D" w:rsidRDefault="003C5D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9F5"/>
    <w:multiLevelType w:val="hybridMultilevel"/>
    <w:tmpl w:val="0D7A70D8"/>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288405C8"/>
    <w:multiLevelType w:val="hybridMultilevel"/>
    <w:tmpl w:val="7262A8EE"/>
    <w:lvl w:ilvl="0" w:tplc="9382639A">
      <w:numFmt w:val="bullet"/>
      <w:lvlText w:val="•"/>
      <w:lvlJc w:val="left"/>
      <w:pPr>
        <w:ind w:left="1113" w:hanging="360"/>
      </w:pPr>
      <w:rPr>
        <w:rFonts w:ascii="Calibri" w:eastAsiaTheme="minorHAnsi" w:hAnsi="Calibri" w:cs="Calibri" w:hint="default"/>
      </w:rPr>
    </w:lvl>
    <w:lvl w:ilvl="1" w:tplc="0C0A0003" w:tentative="1">
      <w:start w:val="1"/>
      <w:numFmt w:val="bullet"/>
      <w:lvlText w:val="o"/>
      <w:lvlJc w:val="left"/>
      <w:pPr>
        <w:ind w:left="1833" w:hanging="360"/>
      </w:pPr>
      <w:rPr>
        <w:rFonts w:ascii="Courier New" w:hAnsi="Courier New" w:cs="Courier New" w:hint="default"/>
      </w:rPr>
    </w:lvl>
    <w:lvl w:ilvl="2" w:tplc="0C0A0005" w:tentative="1">
      <w:start w:val="1"/>
      <w:numFmt w:val="bullet"/>
      <w:lvlText w:val=""/>
      <w:lvlJc w:val="left"/>
      <w:pPr>
        <w:ind w:left="2553" w:hanging="360"/>
      </w:pPr>
      <w:rPr>
        <w:rFonts w:ascii="Wingdings" w:hAnsi="Wingdings" w:hint="default"/>
      </w:rPr>
    </w:lvl>
    <w:lvl w:ilvl="3" w:tplc="0C0A0001" w:tentative="1">
      <w:start w:val="1"/>
      <w:numFmt w:val="bullet"/>
      <w:lvlText w:val=""/>
      <w:lvlJc w:val="left"/>
      <w:pPr>
        <w:ind w:left="3273" w:hanging="360"/>
      </w:pPr>
      <w:rPr>
        <w:rFonts w:ascii="Symbol" w:hAnsi="Symbol" w:hint="default"/>
      </w:rPr>
    </w:lvl>
    <w:lvl w:ilvl="4" w:tplc="0C0A0003" w:tentative="1">
      <w:start w:val="1"/>
      <w:numFmt w:val="bullet"/>
      <w:lvlText w:val="o"/>
      <w:lvlJc w:val="left"/>
      <w:pPr>
        <w:ind w:left="3993" w:hanging="360"/>
      </w:pPr>
      <w:rPr>
        <w:rFonts w:ascii="Courier New" w:hAnsi="Courier New" w:cs="Courier New" w:hint="default"/>
      </w:rPr>
    </w:lvl>
    <w:lvl w:ilvl="5" w:tplc="0C0A0005" w:tentative="1">
      <w:start w:val="1"/>
      <w:numFmt w:val="bullet"/>
      <w:lvlText w:val=""/>
      <w:lvlJc w:val="left"/>
      <w:pPr>
        <w:ind w:left="4713" w:hanging="360"/>
      </w:pPr>
      <w:rPr>
        <w:rFonts w:ascii="Wingdings" w:hAnsi="Wingdings" w:hint="default"/>
      </w:rPr>
    </w:lvl>
    <w:lvl w:ilvl="6" w:tplc="0C0A0001" w:tentative="1">
      <w:start w:val="1"/>
      <w:numFmt w:val="bullet"/>
      <w:lvlText w:val=""/>
      <w:lvlJc w:val="left"/>
      <w:pPr>
        <w:ind w:left="5433" w:hanging="360"/>
      </w:pPr>
      <w:rPr>
        <w:rFonts w:ascii="Symbol" w:hAnsi="Symbol" w:hint="default"/>
      </w:rPr>
    </w:lvl>
    <w:lvl w:ilvl="7" w:tplc="0C0A0003" w:tentative="1">
      <w:start w:val="1"/>
      <w:numFmt w:val="bullet"/>
      <w:lvlText w:val="o"/>
      <w:lvlJc w:val="left"/>
      <w:pPr>
        <w:ind w:left="6153" w:hanging="360"/>
      </w:pPr>
      <w:rPr>
        <w:rFonts w:ascii="Courier New" w:hAnsi="Courier New" w:cs="Courier New" w:hint="default"/>
      </w:rPr>
    </w:lvl>
    <w:lvl w:ilvl="8" w:tplc="0C0A0005" w:tentative="1">
      <w:start w:val="1"/>
      <w:numFmt w:val="bullet"/>
      <w:lvlText w:val=""/>
      <w:lvlJc w:val="left"/>
      <w:pPr>
        <w:ind w:left="687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77"/>
    <w:rsid w:val="000338E5"/>
    <w:rsid w:val="00044E55"/>
    <w:rsid w:val="00051D35"/>
    <w:rsid w:val="00061A45"/>
    <w:rsid w:val="00067B04"/>
    <w:rsid w:val="000D7795"/>
    <w:rsid w:val="000F644F"/>
    <w:rsid w:val="00107FC2"/>
    <w:rsid w:val="0012718E"/>
    <w:rsid w:val="00141C39"/>
    <w:rsid w:val="001511EC"/>
    <w:rsid w:val="00156026"/>
    <w:rsid w:val="00164C61"/>
    <w:rsid w:val="001C138B"/>
    <w:rsid w:val="001F61F5"/>
    <w:rsid w:val="002248A1"/>
    <w:rsid w:val="0026222F"/>
    <w:rsid w:val="002743E3"/>
    <w:rsid w:val="002A193D"/>
    <w:rsid w:val="002A69C2"/>
    <w:rsid w:val="002B3D3A"/>
    <w:rsid w:val="002F5F5B"/>
    <w:rsid w:val="00304DDF"/>
    <w:rsid w:val="00340C07"/>
    <w:rsid w:val="0034646B"/>
    <w:rsid w:val="0037773A"/>
    <w:rsid w:val="00384E40"/>
    <w:rsid w:val="00394593"/>
    <w:rsid w:val="003A251A"/>
    <w:rsid w:val="003A53BE"/>
    <w:rsid w:val="003C5D7D"/>
    <w:rsid w:val="003D6EDD"/>
    <w:rsid w:val="003F4052"/>
    <w:rsid w:val="003F6778"/>
    <w:rsid w:val="00442B81"/>
    <w:rsid w:val="00444DED"/>
    <w:rsid w:val="004733DF"/>
    <w:rsid w:val="00493A80"/>
    <w:rsid w:val="004A3BB6"/>
    <w:rsid w:val="004E2EAA"/>
    <w:rsid w:val="004E3404"/>
    <w:rsid w:val="00506179"/>
    <w:rsid w:val="00513F2E"/>
    <w:rsid w:val="005269D2"/>
    <w:rsid w:val="00527A2E"/>
    <w:rsid w:val="00546F9E"/>
    <w:rsid w:val="005556EC"/>
    <w:rsid w:val="005A0AB8"/>
    <w:rsid w:val="005A166F"/>
    <w:rsid w:val="005A4D17"/>
    <w:rsid w:val="005B14CD"/>
    <w:rsid w:val="005C28C4"/>
    <w:rsid w:val="005C5ECF"/>
    <w:rsid w:val="005F345D"/>
    <w:rsid w:val="00621085"/>
    <w:rsid w:val="006238DF"/>
    <w:rsid w:val="006462C1"/>
    <w:rsid w:val="00682C69"/>
    <w:rsid w:val="006936C6"/>
    <w:rsid w:val="006D6049"/>
    <w:rsid w:val="006E395C"/>
    <w:rsid w:val="006F77D9"/>
    <w:rsid w:val="00700C49"/>
    <w:rsid w:val="00710BAE"/>
    <w:rsid w:val="00711739"/>
    <w:rsid w:val="0074428A"/>
    <w:rsid w:val="0075428E"/>
    <w:rsid w:val="00771766"/>
    <w:rsid w:val="007763D7"/>
    <w:rsid w:val="00791CA2"/>
    <w:rsid w:val="007A036D"/>
    <w:rsid w:val="007A0BC1"/>
    <w:rsid w:val="007A3252"/>
    <w:rsid w:val="007B5E22"/>
    <w:rsid w:val="007D6207"/>
    <w:rsid w:val="00801D11"/>
    <w:rsid w:val="00805232"/>
    <w:rsid w:val="0080601F"/>
    <w:rsid w:val="00807A3B"/>
    <w:rsid w:val="008111A4"/>
    <w:rsid w:val="00832AA4"/>
    <w:rsid w:val="00856BF6"/>
    <w:rsid w:val="00875D0B"/>
    <w:rsid w:val="008A0B25"/>
    <w:rsid w:val="008B20FB"/>
    <w:rsid w:val="008B5FEF"/>
    <w:rsid w:val="008C7387"/>
    <w:rsid w:val="00900D75"/>
    <w:rsid w:val="00932577"/>
    <w:rsid w:val="009504A0"/>
    <w:rsid w:val="0097596F"/>
    <w:rsid w:val="009A028E"/>
    <w:rsid w:val="009A316B"/>
    <w:rsid w:val="009E661E"/>
    <w:rsid w:val="009F6AA9"/>
    <w:rsid w:val="00A00FE1"/>
    <w:rsid w:val="00A14F1E"/>
    <w:rsid w:val="00A4535C"/>
    <w:rsid w:val="00A60E73"/>
    <w:rsid w:val="00A7197F"/>
    <w:rsid w:val="00A74C41"/>
    <w:rsid w:val="00AD6008"/>
    <w:rsid w:val="00AE242D"/>
    <w:rsid w:val="00B07758"/>
    <w:rsid w:val="00B10DD7"/>
    <w:rsid w:val="00B218F6"/>
    <w:rsid w:val="00B2203B"/>
    <w:rsid w:val="00B27389"/>
    <w:rsid w:val="00B37825"/>
    <w:rsid w:val="00B8681F"/>
    <w:rsid w:val="00BA768D"/>
    <w:rsid w:val="00BB1AE9"/>
    <w:rsid w:val="00BB33C7"/>
    <w:rsid w:val="00BC02D2"/>
    <w:rsid w:val="00BD63BE"/>
    <w:rsid w:val="00BF7E4C"/>
    <w:rsid w:val="00C3731B"/>
    <w:rsid w:val="00C614C9"/>
    <w:rsid w:val="00C643DE"/>
    <w:rsid w:val="00C73461"/>
    <w:rsid w:val="00C80535"/>
    <w:rsid w:val="00C95067"/>
    <w:rsid w:val="00CC7724"/>
    <w:rsid w:val="00CE4777"/>
    <w:rsid w:val="00D21E15"/>
    <w:rsid w:val="00D2610F"/>
    <w:rsid w:val="00D3170E"/>
    <w:rsid w:val="00D436B9"/>
    <w:rsid w:val="00D453FA"/>
    <w:rsid w:val="00D808DD"/>
    <w:rsid w:val="00D86EC4"/>
    <w:rsid w:val="00DA163C"/>
    <w:rsid w:val="00DB01B4"/>
    <w:rsid w:val="00DB576C"/>
    <w:rsid w:val="00DC5144"/>
    <w:rsid w:val="00DD23B1"/>
    <w:rsid w:val="00E336F7"/>
    <w:rsid w:val="00E64716"/>
    <w:rsid w:val="00E669A3"/>
    <w:rsid w:val="00E67BB6"/>
    <w:rsid w:val="00E82766"/>
    <w:rsid w:val="00EA4962"/>
    <w:rsid w:val="00EA534A"/>
    <w:rsid w:val="00EC2B42"/>
    <w:rsid w:val="00EE12CE"/>
    <w:rsid w:val="00F04755"/>
    <w:rsid w:val="00F4070F"/>
    <w:rsid w:val="00F51E5C"/>
    <w:rsid w:val="00F5240F"/>
    <w:rsid w:val="00F618A4"/>
    <w:rsid w:val="00F72210"/>
    <w:rsid w:val="00F83E8D"/>
    <w:rsid w:val="00F91602"/>
    <w:rsid w:val="00F94DD8"/>
    <w:rsid w:val="00FA01D3"/>
    <w:rsid w:val="00FA5DD4"/>
    <w:rsid w:val="00FB3061"/>
    <w:rsid w:val="00FB3A0B"/>
    <w:rsid w:val="00FD4A82"/>
    <w:rsid w:val="00FD4B66"/>
    <w:rsid w:val="00FE1003"/>
    <w:rsid w:val="00FF7E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7A2E"/>
    <w:pPr>
      <w:spacing w:after="0"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777"/>
    <w:rPr>
      <w:color w:val="0000FF" w:themeColor="hyperlink"/>
      <w:u w:val="single"/>
    </w:rPr>
  </w:style>
  <w:style w:type="paragraph" w:styleId="Encabezado">
    <w:name w:val="header"/>
    <w:basedOn w:val="Normal"/>
    <w:link w:val="EncabezadoCar"/>
    <w:uiPriority w:val="99"/>
    <w:unhideWhenUsed/>
    <w:rsid w:val="0052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7A2E"/>
  </w:style>
  <w:style w:type="paragraph" w:styleId="Piedepgina">
    <w:name w:val="footer"/>
    <w:basedOn w:val="Normal"/>
    <w:link w:val="PiedepginaCar"/>
    <w:uiPriority w:val="99"/>
    <w:unhideWhenUsed/>
    <w:rsid w:val="00527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7A2E"/>
  </w:style>
  <w:style w:type="character" w:customStyle="1" w:styleId="Ttulo1Car">
    <w:name w:val="Título 1 Car"/>
    <w:basedOn w:val="Fuentedeprrafopredeter"/>
    <w:link w:val="Ttulo1"/>
    <w:uiPriority w:val="9"/>
    <w:rsid w:val="00527A2E"/>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527A2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A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BC1"/>
    <w:rPr>
      <w:rFonts w:ascii="Tahoma" w:hAnsi="Tahoma" w:cs="Tahoma"/>
      <w:sz w:val="16"/>
      <w:szCs w:val="16"/>
    </w:rPr>
  </w:style>
  <w:style w:type="paragraph" w:styleId="NormalWeb">
    <w:name w:val="Normal (Web)"/>
    <w:basedOn w:val="Normal"/>
    <w:uiPriority w:val="99"/>
    <w:semiHidden/>
    <w:unhideWhenUsed/>
    <w:rsid w:val="0075428E"/>
    <w:pPr>
      <w:spacing w:before="100" w:beforeAutospacing="1" w:after="100" w:afterAutospacing="1" w:line="240" w:lineRule="auto"/>
    </w:pPr>
    <w:rPr>
      <w:rFonts w:ascii="Times New Roman" w:eastAsiaTheme="minorHAnsi" w:hAnsi="Times New Roman" w:cs="Times New Roman"/>
      <w:sz w:val="24"/>
      <w:szCs w:val="24"/>
    </w:rPr>
  </w:style>
  <w:style w:type="character" w:styleId="Refdecomentario">
    <w:name w:val="annotation reference"/>
    <w:basedOn w:val="Fuentedeprrafopredeter"/>
    <w:uiPriority w:val="99"/>
    <w:semiHidden/>
    <w:unhideWhenUsed/>
    <w:rsid w:val="005C28C4"/>
    <w:rPr>
      <w:sz w:val="16"/>
      <w:szCs w:val="16"/>
    </w:rPr>
  </w:style>
  <w:style w:type="paragraph" w:styleId="Textocomentario">
    <w:name w:val="annotation text"/>
    <w:basedOn w:val="Normal"/>
    <w:link w:val="TextocomentarioCar"/>
    <w:uiPriority w:val="99"/>
    <w:semiHidden/>
    <w:unhideWhenUsed/>
    <w:rsid w:val="005C28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28C4"/>
    <w:rPr>
      <w:sz w:val="20"/>
      <w:szCs w:val="20"/>
    </w:rPr>
  </w:style>
  <w:style w:type="paragraph" w:styleId="Asuntodelcomentario">
    <w:name w:val="annotation subject"/>
    <w:basedOn w:val="Textocomentario"/>
    <w:next w:val="Textocomentario"/>
    <w:link w:val="AsuntodelcomentarioCar"/>
    <w:uiPriority w:val="99"/>
    <w:semiHidden/>
    <w:unhideWhenUsed/>
    <w:rsid w:val="005C28C4"/>
    <w:rPr>
      <w:b/>
      <w:bCs/>
    </w:rPr>
  </w:style>
  <w:style w:type="character" w:customStyle="1" w:styleId="AsuntodelcomentarioCar">
    <w:name w:val="Asunto del comentario Car"/>
    <w:basedOn w:val="TextocomentarioCar"/>
    <w:link w:val="Asuntodelcomentario"/>
    <w:uiPriority w:val="99"/>
    <w:semiHidden/>
    <w:rsid w:val="005C28C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7A2E"/>
    <w:pPr>
      <w:spacing w:after="0"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777"/>
    <w:rPr>
      <w:color w:val="0000FF" w:themeColor="hyperlink"/>
      <w:u w:val="single"/>
    </w:rPr>
  </w:style>
  <w:style w:type="paragraph" w:styleId="Encabezado">
    <w:name w:val="header"/>
    <w:basedOn w:val="Normal"/>
    <w:link w:val="EncabezadoCar"/>
    <w:uiPriority w:val="99"/>
    <w:unhideWhenUsed/>
    <w:rsid w:val="0052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7A2E"/>
  </w:style>
  <w:style w:type="paragraph" w:styleId="Piedepgina">
    <w:name w:val="footer"/>
    <w:basedOn w:val="Normal"/>
    <w:link w:val="PiedepginaCar"/>
    <w:uiPriority w:val="99"/>
    <w:unhideWhenUsed/>
    <w:rsid w:val="00527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7A2E"/>
  </w:style>
  <w:style w:type="character" w:customStyle="1" w:styleId="Ttulo1Car">
    <w:name w:val="Título 1 Car"/>
    <w:basedOn w:val="Fuentedeprrafopredeter"/>
    <w:link w:val="Ttulo1"/>
    <w:uiPriority w:val="9"/>
    <w:rsid w:val="00527A2E"/>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527A2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A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BC1"/>
    <w:rPr>
      <w:rFonts w:ascii="Tahoma" w:hAnsi="Tahoma" w:cs="Tahoma"/>
      <w:sz w:val="16"/>
      <w:szCs w:val="16"/>
    </w:rPr>
  </w:style>
  <w:style w:type="paragraph" w:styleId="NormalWeb">
    <w:name w:val="Normal (Web)"/>
    <w:basedOn w:val="Normal"/>
    <w:uiPriority w:val="99"/>
    <w:semiHidden/>
    <w:unhideWhenUsed/>
    <w:rsid w:val="0075428E"/>
    <w:pPr>
      <w:spacing w:before="100" w:beforeAutospacing="1" w:after="100" w:afterAutospacing="1" w:line="240" w:lineRule="auto"/>
    </w:pPr>
    <w:rPr>
      <w:rFonts w:ascii="Times New Roman" w:eastAsiaTheme="minorHAnsi" w:hAnsi="Times New Roman" w:cs="Times New Roman"/>
      <w:sz w:val="24"/>
      <w:szCs w:val="24"/>
    </w:rPr>
  </w:style>
  <w:style w:type="character" w:styleId="Refdecomentario">
    <w:name w:val="annotation reference"/>
    <w:basedOn w:val="Fuentedeprrafopredeter"/>
    <w:uiPriority w:val="99"/>
    <w:semiHidden/>
    <w:unhideWhenUsed/>
    <w:rsid w:val="005C28C4"/>
    <w:rPr>
      <w:sz w:val="16"/>
      <w:szCs w:val="16"/>
    </w:rPr>
  </w:style>
  <w:style w:type="paragraph" w:styleId="Textocomentario">
    <w:name w:val="annotation text"/>
    <w:basedOn w:val="Normal"/>
    <w:link w:val="TextocomentarioCar"/>
    <w:uiPriority w:val="99"/>
    <w:semiHidden/>
    <w:unhideWhenUsed/>
    <w:rsid w:val="005C28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28C4"/>
    <w:rPr>
      <w:sz w:val="20"/>
      <w:szCs w:val="20"/>
    </w:rPr>
  </w:style>
  <w:style w:type="paragraph" w:styleId="Asuntodelcomentario">
    <w:name w:val="annotation subject"/>
    <w:basedOn w:val="Textocomentario"/>
    <w:next w:val="Textocomentario"/>
    <w:link w:val="AsuntodelcomentarioCar"/>
    <w:uiPriority w:val="99"/>
    <w:semiHidden/>
    <w:unhideWhenUsed/>
    <w:rsid w:val="005C28C4"/>
    <w:rPr>
      <w:b/>
      <w:bCs/>
    </w:rPr>
  </w:style>
  <w:style w:type="character" w:customStyle="1" w:styleId="AsuntodelcomentarioCar">
    <w:name w:val="Asunto del comentario Car"/>
    <w:basedOn w:val="TextocomentarioCar"/>
    <w:link w:val="Asuntodelcomentario"/>
    <w:uiPriority w:val="99"/>
    <w:semiHidden/>
    <w:rsid w:val="005C28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73214">
      <w:bodyDiv w:val="1"/>
      <w:marLeft w:val="0"/>
      <w:marRight w:val="0"/>
      <w:marTop w:val="0"/>
      <w:marBottom w:val="0"/>
      <w:divBdr>
        <w:top w:val="none" w:sz="0" w:space="0" w:color="auto"/>
        <w:left w:val="none" w:sz="0" w:space="0" w:color="auto"/>
        <w:bottom w:val="none" w:sz="0" w:space="0" w:color="auto"/>
        <w:right w:val="none" w:sz="0" w:space="0" w:color="auto"/>
      </w:divBdr>
    </w:div>
    <w:div w:id="184208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coque@ena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coque@enac.es" TargetMode="External"/><Relationship Id="rId4" Type="http://schemas.microsoft.com/office/2007/relationships/stylesWithEffects" Target="stylesWithEffects.xml"/><Relationship Id="rId9" Type="http://schemas.openxmlformats.org/officeDocument/2006/relationships/hyperlink" Target="http://www.ena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6AA4E-D932-4DD6-A7C4-2F1CD3EC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604</Words>
  <Characters>3323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isabelc</dc:creator>
  <cp:lastModifiedBy>IreneGonzalez</cp:lastModifiedBy>
  <cp:revision>4</cp:revision>
  <cp:lastPrinted>2014-09-18T08:33:00Z</cp:lastPrinted>
  <dcterms:created xsi:type="dcterms:W3CDTF">2014-09-24T11:31:00Z</dcterms:created>
  <dcterms:modified xsi:type="dcterms:W3CDTF">2014-09-25T07:35:00Z</dcterms:modified>
</cp:coreProperties>
</file>