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C3" w:rsidRPr="00E7368A" w:rsidRDefault="00FC10C3" w:rsidP="00FC10C3">
      <w:pPr>
        <w:jc w:val="center"/>
        <w:rPr>
          <w:b/>
          <w:sz w:val="28"/>
          <w:szCs w:val="28"/>
        </w:rPr>
      </w:pPr>
      <w:r w:rsidRPr="00E7368A">
        <w:rPr>
          <w:b/>
          <w:sz w:val="28"/>
          <w:szCs w:val="28"/>
        </w:rPr>
        <w:t xml:space="preserve">Primer laboratorio acreditado por ENAC para estudios </w:t>
      </w:r>
    </w:p>
    <w:p w:rsidR="00FC10C3" w:rsidRPr="00E7368A" w:rsidRDefault="00FC10C3" w:rsidP="00FC10C3">
      <w:pPr>
        <w:jc w:val="center"/>
        <w:rPr>
          <w:b/>
          <w:sz w:val="28"/>
          <w:szCs w:val="28"/>
        </w:rPr>
      </w:pPr>
      <w:proofErr w:type="gramStart"/>
      <w:r w:rsidRPr="00E7368A">
        <w:rPr>
          <w:b/>
          <w:sz w:val="28"/>
          <w:szCs w:val="28"/>
        </w:rPr>
        <w:t>de</w:t>
      </w:r>
      <w:proofErr w:type="gramEnd"/>
      <w:r w:rsidRPr="00E7368A">
        <w:rPr>
          <w:b/>
          <w:sz w:val="28"/>
          <w:szCs w:val="28"/>
        </w:rPr>
        <w:t xml:space="preserve"> histocompatibilidad para </w:t>
      </w:r>
      <w:r w:rsidR="00243ABB" w:rsidRPr="00E7368A">
        <w:rPr>
          <w:b/>
          <w:sz w:val="28"/>
          <w:szCs w:val="28"/>
        </w:rPr>
        <w:t>trasplantes</w:t>
      </w:r>
    </w:p>
    <w:p w:rsidR="00FC10C3" w:rsidRDefault="00FC10C3" w:rsidP="00FC10C3">
      <w:pPr>
        <w:jc w:val="both"/>
      </w:pPr>
    </w:p>
    <w:p w:rsidR="00FC10C3" w:rsidRDefault="00FC10C3" w:rsidP="00FC10C3">
      <w:pPr>
        <w:jc w:val="both"/>
      </w:pPr>
      <w:r>
        <w:t xml:space="preserve">Madrid, </w:t>
      </w:r>
      <w:r w:rsidR="00243ABB">
        <w:t>25</w:t>
      </w:r>
      <w:r>
        <w:t xml:space="preserve"> de junio de 2012</w:t>
      </w:r>
    </w:p>
    <w:p w:rsidR="00FC10C3" w:rsidRDefault="00FC10C3" w:rsidP="00615A34">
      <w:pPr>
        <w:pStyle w:val="Sinespaciado"/>
        <w:ind w:right="-2"/>
        <w:jc w:val="both"/>
        <w:rPr>
          <w:rFonts w:cs="Tahoma"/>
          <w:noProof/>
          <w:lang w:eastAsia="es-ES"/>
        </w:rPr>
      </w:pPr>
      <w:r w:rsidRPr="00FC10C3">
        <w:rPr>
          <w:rFonts w:cs="Tahoma"/>
          <w:noProof/>
          <w:lang w:eastAsia="es-ES"/>
        </w:rPr>
        <w:t>La Entidad Nacional de Acreditación ha concedido recientemente al Laboratorio de Inmunología del Hospital Clínico Universitario de Santiago de Compostela, la primera acreditación para estudios de histocompatibilidad para trasplantes de riñón y de médula ósea.</w:t>
      </w:r>
    </w:p>
    <w:p w:rsidR="00615A34" w:rsidRPr="00FC10C3" w:rsidRDefault="00615A34" w:rsidP="00615A34">
      <w:pPr>
        <w:pStyle w:val="Sinespaciado"/>
        <w:ind w:right="-2"/>
        <w:jc w:val="both"/>
        <w:rPr>
          <w:rFonts w:cs="Tahoma"/>
          <w:noProof/>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Además de esta acreditación, el laboratorio del Servicio de Análisis Clínicos del Hospital de Santiago de Compostela se ha acreditado para los análisis de bioquímica y hematología de urgencias, y para estudios de antígenos HLA asociados a enfermedades, como el HLA-B27 (relacionado con espondiloartropatías) HL-DQ (relacionado con enfermedad celíaca) y HLA-B57:01 (relacionado con respuesta a determinados fármacos); pruebas para las que también está acreditado el Laboratorio de Inmunología del Hospital Universitario Gregorio Marañón desde 2009.</w:t>
      </w:r>
    </w:p>
    <w:p w:rsidR="00FC10C3" w:rsidRPr="00FC10C3" w:rsidRDefault="00FC10C3" w:rsidP="00615A34">
      <w:pPr>
        <w:spacing w:after="0" w:line="240" w:lineRule="auto"/>
        <w:jc w:val="both"/>
        <w:rPr>
          <w:rFonts w:eastAsia="Times New Roman" w:cs="Tahoma"/>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En clínica humana, el trasplante constituye una práctica frecuente actualmente y es habitual que estos trasplantes se realicen entre individuos genéticamente distintos. Estas diferencias genéticas hacen que el receptor ponga en marcha una respuesta inmunitaria de rechazo dirigida contra las estructuras extrañas presentes en las células del órgano o tejido del donante.</w:t>
      </w:r>
    </w:p>
    <w:p w:rsidR="00FC10C3" w:rsidRPr="00FC10C3" w:rsidRDefault="00FC10C3" w:rsidP="00615A34">
      <w:pPr>
        <w:pStyle w:val="Sinespaciado"/>
        <w:ind w:right="-2"/>
        <w:jc w:val="both"/>
        <w:rPr>
          <w:rFonts w:cs="Tahoma"/>
          <w:noProof/>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Para evitar los riesgos derivados de esta situación se realizan estudios de compatibilidad entre el donante y el receptor. En el estudio, además de comprobar la compatibilidad de grupo sanguíneo, se evalúan los antígenos leucocitarios humanos (HLA, por sus siglas en inglés), unas proteínas situadas en la superficie de casi toda célula del cuerpo humano, especialmente y en gran cantidad en la superficie de los glóbulos blancos, en donde ayudan al sistema inmunitario a diferenciar los tejidos propios de los extraños.</w:t>
      </w:r>
    </w:p>
    <w:p w:rsidR="00FC10C3" w:rsidRPr="00FC10C3" w:rsidRDefault="00FC10C3" w:rsidP="00615A34">
      <w:pPr>
        <w:spacing w:after="0" w:line="240" w:lineRule="auto"/>
        <w:jc w:val="both"/>
        <w:rPr>
          <w:rFonts w:eastAsia="Times New Roman" w:cs="Tahoma"/>
          <w:b/>
          <w:lang w:eastAsia="es-ES"/>
        </w:rPr>
      </w:pPr>
    </w:p>
    <w:p w:rsidR="00FC10C3" w:rsidRPr="00FC10C3" w:rsidRDefault="00FC10C3" w:rsidP="00615A34">
      <w:pPr>
        <w:spacing w:after="0" w:line="240" w:lineRule="auto"/>
        <w:jc w:val="both"/>
        <w:rPr>
          <w:rFonts w:eastAsia="Times New Roman" w:cs="Tahoma"/>
          <w:b/>
          <w:lang w:eastAsia="es-ES"/>
        </w:rPr>
      </w:pPr>
      <w:r w:rsidRPr="00FC10C3">
        <w:rPr>
          <w:rFonts w:eastAsia="Times New Roman" w:cs="Tahoma"/>
          <w:b/>
          <w:lang w:eastAsia="es-ES"/>
        </w:rPr>
        <w:t>Análisis de histocompatibilidad</w:t>
      </w:r>
    </w:p>
    <w:p w:rsidR="00FC10C3" w:rsidRPr="00FC10C3" w:rsidRDefault="00FC10C3" w:rsidP="00615A34">
      <w:pPr>
        <w:spacing w:after="0" w:line="240" w:lineRule="auto"/>
        <w:jc w:val="both"/>
        <w:rPr>
          <w:rFonts w:eastAsia="Times New Roman" w:cs="Tahoma"/>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Los análisis de histocompatibilidad que se realizan en cada caso concreto dependen del grado de parentesco o similitud inmunológica entre donante y receptor y del órgano o tejido a trasplantar. En el trasplante renal los estudios de histocompatibilidad son fundamentales pero la mayor complejidad inmunológica se produce en el caso de la médula ósea.</w:t>
      </w:r>
    </w:p>
    <w:p w:rsidR="00FC10C3" w:rsidRPr="00FC10C3" w:rsidRDefault="00FC10C3" w:rsidP="00615A34">
      <w:pPr>
        <w:pStyle w:val="Sinespaciado"/>
        <w:ind w:right="-2"/>
        <w:jc w:val="both"/>
        <w:rPr>
          <w:rFonts w:cs="Tahoma"/>
          <w:noProof/>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 xml:space="preserve">Estos análisis incluyen la tipificación del HLA en donante y receptor por técnicas de biología molecular (PCR-SSP, PCR-SSO). </w:t>
      </w:r>
    </w:p>
    <w:p w:rsidR="00FC10C3" w:rsidRPr="00FC10C3" w:rsidRDefault="00FC10C3" w:rsidP="00615A34">
      <w:pPr>
        <w:spacing w:after="0" w:line="240" w:lineRule="auto"/>
        <w:jc w:val="both"/>
        <w:rPr>
          <w:rFonts w:eastAsia="Times New Roman" w:cs="Tahoma"/>
          <w:lang w:eastAsia="es-ES"/>
        </w:rPr>
      </w:pPr>
    </w:p>
    <w:p w:rsidR="00FC10C3" w:rsidRPr="00FC10C3" w:rsidRDefault="00FC10C3" w:rsidP="00615A34">
      <w:pPr>
        <w:pStyle w:val="Sinespaciado"/>
        <w:ind w:right="-2"/>
        <w:jc w:val="both"/>
        <w:rPr>
          <w:rFonts w:cs="Tahoma"/>
          <w:noProof/>
          <w:lang w:eastAsia="es-ES"/>
        </w:rPr>
      </w:pPr>
      <w:r w:rsidRPr="00FC10C3">
        <w:rPr>
          <w:rFonts w:cs="Tahoma"/>
          <w:noProof/>
          <w:lang w:eastAsia="es-ES"/>
        </w:rPr>
        <w:t>En el trasplante renal se evalúa también la posible presencia en el suero del receptor de anticuerpos anti-HLA. Esta prueba cruzada de citotoxicidad se realiza para evitar la pérdida inmediata del injerto por rechazo inmunológico. Tras el trasplante de riñón se realiza un seguimiento de anticuerpos citotóxicos post-trasplante para monitorizar la respuesta al injerto.</w:t>
      </w:r>
    </w:p>
    <w:p w:rsidR="00FC10C3" w:rsidRDefault="00FC10C3" w:rsidP="007E61E1">
      <w:pPr>
        <w:pStyle w:val="Sinespaciado"/>
        <w:spacing w:after="200"/>
        <w:ind w:right="-2"/>
        <w:jc w:val="both"/>
        <w:rPr>
          <w:rFonts w:cs="Tahoma"/>
          <w:b/>
          <w:noProof/>
          <w:u w:val="single"/>
          <w:lang w:eastAsia="es-ES"/>
        </w:rPr>
      </w:pPr>
    </w:p>
    <w:p w:rsidR="00615A34" w:rsidRDefault="00615A34" w:rsidP="007E61E1">
      <w:pPr>
        <w:pStyle w:val="Sinespaciado"/>
        <w:spacing w:after="200"/>
        <w:ind w:right="-2"/>
        <w:jc w:val="both"/>
        <w:rPr>
          <w:rFonts w:cs="Tahoma"/>
          <w:b/>
          <w:noProof/>
          <w:u w:val="single"/>
          <w:lang w:eastAsia="es-ES"/>
        </w:rPr>
      </w:pPr>
    </w:p>
    <w:p w:rsidR="00B91B07" w:rsidRPr="00CD30F4" w:rsidRDefault="00B91B07" w:rsidP="007E61E1">
      <w:pPr>
        <w:pStyle w:val="Sinespaciado"/>
        <w:spacing w:after="200"/>
        <w:ind w:right="-2"/>
        <w:jc w:val="both"/>
        <w:rPr>
          <w:rFonts w:cs="Tahoma"/>
          <w:b/>
          <w:noProof/>
          <w:u w:val="single"/>
          <w:lang w:eastAsia="es-ES"/>
        </w:rPr>
      </w:pPr>
      <w:r w:rsidRPr="00CD30F4">
        <w:rPr>
          <w:rFonts w:cs="Tahoma"/>
          <w:b/>
          <w:noProof/>
          <w:u w:val="single"/>
          <w:lang w:eastAsia="es-ES"/>
        </w:rPr>
        <w:lastRenderedPageBreak/>
        <w:t>Sobre ENAC</w:t>
      </w:r>
    </w:p>
    <w:p w:rsidR="003A71E8" w:rsidRPr="00CD30F4" w:rsidRDefault="003A71E8" w:rsidP="007E61E1">
      <w:pPr>
        <w:pStyle w:val="Sinespaciado"/>
        <w:spacing w:after="200"/>
        <w:ind w:right="-2"/>
        <w:jc w:val="both"/>
        <w:rPr>
          <w:rFonts w:cs="Tahoma"/>
          <w:noProof/>
          <w:lang w:eastAsia="es-ES"/>
        </w:rPr>
      </w:pPr>
      <w:r w:rsidRPr="00CD30F4">
        <w:rPr>
          <w:rFonts w:cs="Tahoma"/>
          <w:noProof/>
          <w:lang w:eastAsia="es-ES"/>
        </w:rPr>
        <w:t xml:space="preserve">La Entidad Nacional de Acreditación es la entidad designada </w:t>
      </w:r>
      <w:r w:rsidR="003626A5">
        <w:rPr>
          <w:rFonts w:cs="Tahoma"/>
          <w:noProof/>
          <w:lang w:eastAsia="es-ES"/>
        </w:rPr>
        <w:t xml:space="preserve">por el estado español </w:t>
      </w:r>
      <w:r w:rsidRPr="00CD30F4">
        <w:rPr>
          <w:rFonts w:cs="Tahoma"/>
          <w:noProof/>
          <w:lang w:eastAsia="es-ES"/>
        </w:rPr>
        <w:t>como único Organismo Nacional de Acreditación</w:t>
      </w:r>
      <w:r w:rsidR="00306B0B">
        <w:rPr>
          <w:rFonts w:cs="Tahoma"/>
          <w:noProof/>
          <w:lang w:eastAsia="es-ES"/>
        </w:rPr>
        <w:t>,</w:t>
      </w:r>
      <w:r w:rsidRPr="00CD30F4">
        <w:rPr>
          <w:rFonts w:cs="Tahoma"/>
          <w:noProof/>
          <w:lang w:eastAsia="es-ES"/>
        </w:rPr>
        <w:t xml:space="preserve"> de acuerdo con lo establecido en el Reglamento (CE) n.º765/2008 del Parlamento Europeo y el Consejo, de 9 de Julio de 2008</w:t>
      </w:r>
      <w:r w:rsidR="00306B0B">
        <w:rPr>
          <w:rFonts w:cs="Tahoma"/>
          <w:noProof/>
          <w:lang w:eastAsia="es-ES"/>
        </w:rPr>
        <w:t xml:space="preserve"> </w:t>
      </w:r>
      <w:r w:rsidRPr="00CD30F4">
        <w:rPr>
          <w:rFonts w:cs="Tahoma"/>
          <w:noProof/>
          <w:lang w:eastAsia="es-ES"/>
        </w:rPr>
        <w:t>.</w:t>
      </w:r>
    </w:p>
    <w:p w:rsidR="003A71E8" w:rsidRPr="00CD30F4" w:rsidRDefault="003A71E8" w:rsidP="007E61E1">
      <w:pPr>
        <w:pStyle w:val="Sinespaciado"/>
        <w:spacing w:after="200"/>
        <w:ind w:right="-2"/>
        <w:jc w:val="both"/>
        <w:rPr>
          <w:rFonts w:cs="Tahoma"/>
          <w:noProof/>
          <w:lang w:eastAsia="es-ES"/>
        </w:rPr>
      </w:pPr>
      <w:r w:rsidRPr="00CD30F4">
        <w:rPr>
          <w:rFonts w:cs="Tahoma"/>
          <w:noProof/>
          <w:lang w:eastAsia="es-ES"/>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3A71E8" w:rsidRDefault="003A71E8" w:rsidP="007E61E1">
      <w:pPr>
        <w:pStyle w:val="Sinespaciado"/>
        <w:spacing w:after="200"/>
        <w:ind w:right="-2"/>
        <w:jc w:val="both"/>
        <w:rPr>
          <w:rFonts w:cs="Tahoma"/>
          <w:noProof/>
          <w:lang w:eastAsia="es-ES"/>
        </w:rPr>
      </w:pPr>
      <w:r w:rsidRPr="00CD30F4">
        <w:rPr>
          <w:rFonts w:cs="Tahoma"/>
          <w:noProof/>
          <w:lang w:eastAsia="es-ES"/>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w:t>
      </w:r>
      <w:r w:rsidR="00E306C6" w:rsidRPr="00CD30F4">
        <w:rPr>
          <w:rFonts w:cs="Tahoma"/>
          <w:noProof/>
          <w:lang w:eastAsia="es-ES"/>
        </w:rPr>
        <w:t>6</w:t>
      </w:r>
      <w:r w:rsidRPr="00CD30F4">
        <w:rPr>
          <w:rFonts w:cs="Tahoma"/>
          <w:noProof/>
          <w:lang w:eastAsia="es-ES"/>
        </w:rPr>
        <w:t xml:space="preserve">0 países. </w:t>
      </w:r>
    </w:p>
    <w:p w:rsidR="004A16E1" w:rsidRPr="009A7E9B" w:rsidRDefault="004A16E1" w:rsidP="004A16E1">
      <w:pPr>
        <w:pStyle w:val="Sinespaciado"/>
        <w:jc w:val="both"/>
        <w:rPr>
          <w:rFonts w:ascii="Tahoma" w:hAnsi="Tahoma" w:cs="Tahoma"/>
        </w:rPr>
      </w:pPr>
    </w:p>
    <w:p w:rsidR="007E61E1" w:rsidRDefault="007E61E1" w:rsidP="004A16E1">
      <w:pPr>
        <w:pStyle w:val="Sinespaciado"/>
        <w:jc w:val="both"/>
        <w:rPr>
          <w:rFonts w:ascii="Tahoma" w:hAnsi="Tahoma" w:cs="Tahoma"/>
        </w:rPr>
      </w:pPr>
    </w:p>
    <w:p w:rsidR="004A16E1" w:rsidRPr="009A7E9B" w:rsidRDefault="0019303B" w:rsidP="004A16E1">
      <w:pPr>
        <w:pStyle w:val="Sinespaciado"/>
        <w:jc w:val="both"/>
        <w:rPr>
          <w:rFonts w:ascii="Tahoma" w:hAnsi="Tahoma" w:cs="Tahoma"/>
        </w:rPr>
      </w:pPr>
      <w:r w:rsidRPr="0019303B">
        <w:rPr>
          <w:rFonts w:cs="Tahoma"/>
          <w:noProof/>
          <w:lang w:eastAsia="es-ES"/>
        </w:rPr>
        <w:pict>
          <v:shapetype id="_x0000_t202" coordsize="21600,21600" o:spt="202" path="m,l,21600r21600,l21600,xe">
            <v:stroke joinstyle="miter"/>
            <v:path gradientshapeok="t" o:connecttype="rect"/>
          </v:shapetype>
          <v:shape id="_x0000_s1032" type="#_x0000_t202" style="position:absolute;left:0;text-align:left;margin-left:247.4pt;margin-top:12.6pt;width:171.55pt;height:70.25pt;z-index:251658240" stroked="f">
            <v:textbox style="mso-next-textbox:#_x0000_s1032">
              <w:txbxContent>
                <w:p w:rsidR="003E50D9" w:rsidRPr="00F53336" w:rsidRDefault="003E50D9" w:rsidP="003E50D9">
                  <w:pPr>
                    <w:spacing w:after="0" w:line="240" w:lineRule="auto"/>
                    <w:ind w:right="21"/>
                    <w:rPr>
                      <w:rFonts w:ascii="Tahoma" w:hAnsi="Tahoma" w:cs="Tahoma"/>
                      <w:b/>
                      <w:sz w:val="20"/>
                      <w:szCs w:val="20"/>
                    </w:rPr>
                  </w:pPr>
                  <w:r w:rsidRPr="00F53336">
                    <w:rPr>
                      <w:rFonts w:ascii="Tahoma" w:hAnsi="Tahoma" w:cs="Tahoma"/>
                      <w:b/>
                      <w:sz w:val="20"/>
                      <w:szCs w:val="20"/>
                    </w:rPr>
                    <w:t>Contacto de Prensa</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Departamento de Comunicación</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Isabel Coque</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Tfno. 91 457 32 89</w:t>
                  </w:r>
                  <w:r w:rsidRPr="00F53336">
                    <w:rPr>
                      <w:rFonts w:ascii="Tahoma" w:hAnsi="Tahoma" w:cs="Tahoma"/>
                      <w:sz w:val="20"/>
                      <w:szCs w:val="20"/>
                    </w:rPr>
                    <w:t xml:space="preserve"> </w:t>
                  </w:r>
                </w:p>
                <w:p w:rsidR="003E50D9" w:rsidRPr="00F53336" w:rsidRDefault="003E50D9" w:rsidP="003E50D9">
                  <w:pPr>
                    <w:spacing w:after="0"/>
                    <w:ind w:right="21"/>
                    <w:rPr>
                      <w:rFonts w:ascii="Tahoma" w:hAnsi="Tahoma" w:cs="Tahoma"/>
                      <w:sz w:val="20"/>
                      <w:szCs w:val="20"/>
                    </w:rPr>
                  </w:pPr>
                  <w:r>
                    <w:rPr>
                      <w:rFonts w:ascii="Tahoma" w:hAnsi="Tahoma" w:cs="Tahoma"/>
                      <w:sz w:val="20"/>
                      <w:szCs w:val="20"/>
                    </w:rPr>
                    <w:t>icoque@enac.es</w:t>
                  </w:r>
                </w:p>
              </w:txbxContent>
            </v:textbox>
          </v:shape>
        </w:pict>
      </w:r>
    </w:p>
    <w:p w:rsidR="004A16E1" w:rsidRPr="009A7E9B" w:rsidRDefault="004A16E1" w:rsidP="004A16E1">
      <w:pPr>
        <w:pStyle w:val="Sinespaciado"/>
        <w:jc w:val="both"/>
        <w:rPr>
          <w:rFonts w:ascii="Tahoma" w:hAnsi="Tahoma" w:cs="Tahoma"/>
        </w:rPr>
      </w:pPr>
    </w:p>
    <w:p w:rsidR="004A16E1" w:rsidRPr="009A7E9B" w:rsidRDefault="004A16E1" w:rsidP="004A16E1">
      <w:pPr>
        <w:pStyle w:val="Sinespaciado"/>
        <w:jc w:val="both"/>
        <w:rPr>
          <w:rFonts w:ascii="Tahoma" w:hAnsi="Tahoma" w:cs="Tahoma"/>
        </w:rPr>
      </w:pPr>
    </w:p>
    <w:p w:rsidR="004A16E1" w:rsidRDefault="004A16E1" w:rsidP="00032D49">
      <w:pPr>
        <w:pStyle w:val="Sinespaciado"/>
        <w:spacing w:after="200"/>
        <w:ind w:left="709" w:right="707"/>
        <w:jc w:val="both"/>
        <w:rPr>
          <w:rFonts w:cs="Tahoma"/>
          <w:noProof/>
          <w:lang w:eastAsia="es-ES"/>
        </w:rPr>
      </w:pPr>
    </w:p>
    <w:p w:rsidR="004A16E1" w:rsidRDefault="004A16E1" w:rsidP="00032D49">
      <w:pPr>
        <w:pStyle w:val="Sinespaciado"/>
        <w:spacing w:after="200"/>
        <w:ind w:left="709" w:right="707"/>
        <w:jc w:val="both"/>
        <w:rPr>
          <w:rFonts w:cs="Tahoma"/>
          <w:noProof/>
          <w:lang w:eastAsia="es-ES"/>
        </w:rPr>
      </w:pPr>
    </w:p>
    <w:p w:rsidR="004A16E1" w:rsidRPr="00CD30F4" w:rsidRDefault="004A16E1" w:rsidP="00032D49">
      <w:pPr>
        <w:pStyle w:val="Sinespaciado"/>
        <w:spacing w:after="200"/>
        <w:ind w:left="709" w:right="707"/>
        <w:jc w:val="both"/>
        <w:rPr>
          <w:rFonts w:cs="Tahoma"/>
          <w:noProof/>
          <w:lang w:eastAsia="es-ES"/>
        </w:rPr>
      </w:pPr>
    </w:p>
    <w:sectPr w:rsidR="004A16E1" w:rsidRPr="00CD30F4" w:rsidSect="00E31900">
      <w:headerReference w:type="default" r:id="rId8"/>
      <w:footerReference w:type="default" r:id="rId9"/>
      <w:pgSz w:w="11906" w:h="16838"/>
      <w:pgMar w:top="2268" w:right="1418" w:bottom="1418" w:left="170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BB" w:rsidRDefault="00D75DBB" w:rsidP="00C90551">
      <w:pPr>
        <w:spacing w:after="0" w:line="240" w:lineRule="auto"/>
      </w:pPr>
      <w:r>
        <w:separator/>
      </w:r>
    </w:p>
  </w:endnote>
  <w:endnote w:type="continuationSeparator" w:id="0">
    <w:p w:rsidR="00D75DBB" w:rsidRDefault="00D75DBB" w:rsidP="00C9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88517E" w:rsidRDefault="0019303B" w:rsidP="000B4808">
    <w:pPr>
      <w:pStyle w:val="Piedepgina"/>
      <w:tabs>
        <w:tab w:val="clear" w:pos="8504"/>
      </w:tabs>
      <w:ind w:right="-143"/>
      <w:rPr>
        <w:b/>
        <w:color w:val="000000"/>
        <w:sz w:val="20"/>
        <w:szCs w:val="20"/>
      </w:rPr>
    </w:pPr>
    <w:r>
      <w:rPr>
        <w:b/>
        <w:noProof/>
        <w:color w:val="000000"/>
        <w:sz w:val="20"/>
        <w:szCs w:val="20"/>
        <w:lang w:eastAsia="es-ES"/>
      </w:rPr>
      <w:pict>
        <v:shapetype id="_x0000_t32" coordsize="21600,21600" o:spt="32" o:oned="t" path="m,l21600,21600e" filled="f">
          <v:path arrowok="t" fillok="f" o:connecttype="none"/>
          <o:lock v:ext="edit" shapetype="t"/>
        </v:shapetype>
        <v:shape id="_x0000_s2052" type="#_x0000_t32" style="position:absolute;margin-left:-7.45pt;margin-top:-6.9pt;width:467.9pt;height:0;z-index:251658240" o:connectortype="straight" strokecolor="#d8d8d8"/>
      </w:pict>
    </w:r>
    <w:r w:rsidR="00DA7549" w:rsidRPr="0088517E">
      <w:rPr>
        <w:b/>
        <w:color w:val="000000"/>
        <w:sz w:val="20"/>
        <w:szCs w:val="20"/>
      </w:rPr>
      <w:t>ENAC – Departamento de Comunicación</w:t>
    </w:r>
    <w:r w:rsidR="00DA7549" w:rsidRPr="0088517E">
      <w:rPr>
        <w:sz w:val="20"/>
        <w:szCs w:val="20"/>
      </w:rPr>
      <w:t xml:space="preserve"> </w:t>
    </w:r>
    <w:r w:rsidR="00DA7549">
      <w:rPr>
        <w:sz w:val="20"/>
        <w:szCs w:val="20"/>
      </w:rPr>
      <w:tab/>
    </w:r>
    <w:r w:rsidR="00DA7549">
      <w:rPr>
        <w:sz w:val="20"/>
        <w:szCs w:val="20"/>
      </w:rPr>
      <w:tab/>
    </w:r>
    <w:r w:rsidR="00DA7549">
      <w:rPr>
        <w:sz w:val="20"/>
        <w:szCs w:val="20"/>
      </w:rPr>
      <w:tab/>
    </w:r>
    <w:r w:rsidR="00DA7549">
      <w:rPr>
        <w:sz w:val="20"/>
        <w:szCs w:val="20"/>
      </w:rPr>
      <w:tab/>
    </w:r>
    <w:r w:rsidR="00DA7549" w:rsidRPr="0088517E">
      <w:rPr>
        <w:b/>
        <w:color w:val="000000"/>
        <w:sz w:val="20"/>
        <w:szCs w:val="20"/>
      </w:rPr>
      <w:t>comunicaci</w:t>
    </w:r>
    <w:r w:rsidR="00DA7549">
      <w:rPr>
        <w:b/>
        <w:color w:val="000000"/>
        <w:sz w:val="20"/>
        <w:szCs w:val="20"/>
      </w:rPr>
      <w:t>o</w:t>
    </w:r>
    <w:r w:rsidR="00DA7549" w:rsidRPr="0088517E">
      <w:rPr>
        <w:b/>
        <w:color w:val="000000"/>
        <w:sz w:val="20"/>
        <w:szCs w:val="20"/>
      </w:rPr>
      <w:t>n@enac.es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BB" w:rsidRDefault="00D75DBB" w:rsidP="00C90551">
      <w:pPr>
        <w:spacing w:after="0" w:line="240" w:lineRule="auto"/>
      </w:pPr>
      <w:r>
        <w:separator/>
      </w:r>
    </w:p>
  </w:footnote>
  <w:footnote w:type="continuationSeparator" w:id="0">
    <w:p w:rsidR="00D75DBB" w:rsidRDefault="00D75DBB" w:rsidP="00C9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181A91" w:rsidRDefault="00DA7549" w:rsidP="000B4808">
    <w:pPr>
      <w:pStyle w:val="Ttulo1"/>
      <w:rPr>
        <w:rFonts w:ascii="Calibri" w:hAnsi="Calibri" w:cs="Arial"/>
        <w:color w:val="595959"/>
        <w:sz w:val="40"/>
        <w:szCs w:val="40"/>
      </w:rPr>
    </w:pPr>
    <w:r>
      <w:rPr>
        <w:rFonts w:ascii="Arial" w:hAnsi="Arial" w:cs="Arial"/>
        <w:noProof/>
      </w:rPr>
      <w:drawing>
        <wp:anchor distT="0" distB="0" distL="114300" distR="114300" simplePos="0" relativeHeight="251656192" behindDoc="0" locked="0" layoutInCell="1" allowOverlap="1">
          <wp:simplePos x="0" y="0"/>
          <wp:positionH relativeFrom="column">
            <wp:posOffset>4482465</wp:posOffset>
          </wp:positionH>
          <wp:positionV relativeFrom="paragraph">
            <wp:posOffset>-107315</wp:posOffset>
          </wp:positionV>
          <wp:extent cx="1324610" cy="730250"/>
          <wp:effectExtent l="19050" t="0" r="8890" b="0"/>
          <wp:wrapTight wrapText="bothSides">
            <wp:wrapPolygon edited="0">
              <wp:start x="9319" y="0"/>
              <wp:lineTo x="621" y="7889"/>
              <wp:lineTo x="-311" y="20849"/>
              <wp:lineTo x="21745" y="20849"/>
              <wp:lineTo x="21745" y="7889"/>
              <wp:lineTo x="11494" y="0"/>
              <wp:lineTo x="9319"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4610" cy="73025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p>
  <w:p w:rsidR="00DA7549" w:rsidRPr="00181A91" w:rsidRDefault="00DA7549" w:rsidP="00EF07D0">
    <w:pPr>
      <w:pStyle w:val="Ttulo1"/>
      <w:rPr>
        <w:rFonts w:ascii="Calibri" w:hAnsi="Calibri" w:cs="Tahoma"/>
        <w:color w:val="595959"/>
        <w:sz w:val="20"/>
        <w:szCs w:val="20"/>
      </w:rPr>
    </w:pPr>
    <w:r>
      <w:rPr>
        <w:rFonts w:ascii="Calibri" w:hAnsi="Calibri" w:cs="Tahoma"/>
        <w:noProof/>
        <w:color w:val="595959"/>
        <w:sz w:val="20"/>
        <w:szCs w:val="20"/>
      </w:rPr>
      <w:drawing>
        <wp:anchor distT="0" distB="0" distL="114300" distR="114300" simplePos="0" relativeHeight="251659264" behindDoc="0" locked="0" layoutInCell="1" allowOverlap="1">
          <wp:simplePos x="0" y="0"/>
          <wp:positionH relativeFrom="column">
            <wp:posOffset>5517515</wp:posOffset>
          </wp:positionH>
          <wp:positionV relativeFrom="paragraph">
            <wp:posOffset>2859405</wp:posOffset>
          </wp:positionV>
          <wp:extent cx="796925" cy="6210300"/>
          <wp:effectExtent l="19050" t="0" r="3175" b="0"/>
          <wp:wrapNone/>
          <wp:docPr id="6" name="Imagen 3" descr="25A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5A_V"/>
                  <pic:cNvPicPr>
                    <a:picLocks noChangeAspect="1" noChangeArrowheads="1"/>
                  </pic:cNvPicPr>
                </pic:nvPicPr>
                <pic:blipFill>
                  <a:blip r:embed="rId2"/>
                  <a:srcRect/>
                  <a:stretch>
                    <a:fillRect/>
                  </a:stretch>
                </pic:blipFill>
                <pic:spPr bwMode="auto">
                  <a:xfrm>
                    <a:off x="0" y="0"/>
                    <a:ext cx="796925" cy="6210300"/>
                  </a:xfrm>
                  <a:prstGeom prst="rect">
                    <a:avLst/>
                  </a:prstGeom>
                  <a:noFill/>
                  <a:ln w="9525">
                    <a:noFill/>
                    <a:miter lim="800000"/>
                    <a:headEnd/>
                    <a:tailEnd/>
                  </a:ln>
                </pic:spPr>
              </pic:pic>
            </a:graphicData>
          </a:graphic>
        </wp:anchor>
      </w:drawing>
    </w:r>
    <w:r w:rsidR="0019303B">
      <w:rPr>
        <w:rFonts w:ascii="Calibri" w:hAnsi="Calibri" w:cs="Tahoma"/>
        <w:noProof/>
        <w:color w:val="595959"/>
        <w:sz w:val="20"/>
        <w:szCs w:val="20"/>
      </w:rPr>
      <w:pict>
        <v:shapetype id="_x0000_t32" coordsize="21600,21600" o:spt="32" o:oned="t" path="m,l21600,21600e" filled="f">
          <v:path arrowok="t" fillok="f" o:connecttype="none"/>
          <o:lock v:ext="edit" shapetype="t"/>
        </v:shapetype>
        <v:shape id="_x0000_s2051" type="#_x0000_t32" style="position:absolute;margin-left:-4.05pt;margin-top:5.75pt;width:231.15pt;height:0;z-index:251657216;mso-position-horizontal-relative:text;mso-position-vertical-relative:text" o:connectortype="straight" strokecolor="#f2f2f2" strokeweight="1pt">
          <v:shadow type="perspective" color="#7f7f7f"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E8"/>
    <w:multiLevelType w:val="hybridMultilevel"/>
    <w:tmpl w:val="2116D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16E4"/>
    <w:multiLevelType w:val="hybridMultilevel"/>
    <w:tmpl w:val="D6FE595E"/>
    <w:lvl w:ilvl="0" w:tplc="0C4054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0107"/>
    <w:multiLevelType w:val="hybridMultilevel"/>
    <w:tmpl w:val="4120F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024BF"/>
    <w:multiLevelType w:val="hybridMultilevel"/>
    <w:tmpl w:val="CB168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D78FB"/>
    <w:multiLevelType w:val="hybridMultilevel"/>
    <w:tmpl w:val="0744FBC0"/>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F6529EC"/>
    <w:multiLevelType w:val="hybridMultilevel"/>
    <w:tmpl w:val="1C60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112F8"/>
    <w:multiLevelType w:val="hybridMultilevel"/>
    <w:tmpl w:val="D304E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940017"/>
    <w:multiLevelType w:val="hybridMultilevel"/>
    <w:tmpl w:val="2A72AB7E"/>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6D60157"/>
    <w:multiLevelType w:val="hybridMultilevel"/>
    <w:tmpl w:val="4E30F77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F29176F"/>
    <w:multiLevelType w:val="hybridMultilevel"/>
    <w:tmpl w:val="6C5C9B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36934FB"/>
    <w:multiLevelType w:val="hybridMultilevel"/>
    <w:tmpl w:val="FF6A2DEA"/>
    <w:lvl w:ilvl="0" w:tplc="49C47C8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877AD8"/>
    <w:multiLevelType w:val="hybridMultilevel"/>
    <w:tmpl w:val="EB3E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A443945"/>
    <w:multiLevelType w:val="hybridMultilevel"/>
    <w:tmpl w:val="9318A312"/>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13">
    <w:nsid w:val="5F352E5A"/>
    <w:multiLevelType w:val="hybridMultilevel"/>
    <w:tmpl w:val="E56A9F14"/>
    <w:lvl w:ilvl="0" w:tplc="0C40540A">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600B3F7B"/>
    <w:multiLevelType w:val="hybridMultilevel"/>
    <w:tmpl w:val="185A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496216"/>
    <w:multiLevelType w:val="hybridMultilevel"/>
    <w:tmpl w:val="8000D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8A1313"/>
    <w:multiLevelType w:val="hybridMultilevel"/>
    <w:tmpl w:val="0696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C41395"/>
    <w:multiLevelType w:val="hybridMultilevel"/>
    <w:tmpl w:val="C590D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17BF4"/>
    <w:multiLevelType w:val="hybridMultilevel"/>
    <w:tmpl w:val="251888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6"/>
  </w:num>
  <w:num w:numId="4">
    <w:abstractNumId w:val="5"/>
  </w:num>
  <w:num w:numId="5">
    <w:abstractNumId w:val="2"/>
  </w:num>
  <w:num w:numId="6">
    <w:abstractNumId w:val="3"/>
  </w:num>
  <w:num w:numId="7">
    <w:abstractNumId w:val="15"/>
  </w:num>
  <w:num w:numId="8">
    <w:abstractNumId w:val="0"/>
  </w:num>
  <w:num w:numId="9">
    <w:abstractNumId w:val="8"/>
  </w:num>
  <w:num w:numId="10">
    <w:abstractNumId w:val="6"/>
  </w:num>
  <w:num w:numId="11">
    <w:abstractNumId w:val="1"/>
  </w:num>
  <w:num w:numId="12">
    <w:abstractNumId w:val="10"/>
  </w:num>
  <w:num w:numId="13">
    <w:abstractNumId w:val="9"/>
  </w:num>
  <w:num w:numId="14">
    <w:abstractNumId w:val="18"/>
  </w:num>
  <w:num w:numId="15">
    <w:abstractNumId w:val="12"/>
  </w:num>
  <w:num w:numId="16">
    <w:abstractNumId w:val="7"/>
  </w:num>
  <w:num w:numId="17">
    <w:abstractNumId w:val="4"/>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o:colormenu v:ext="edit" strokecolor="none [2732]"/>
    </o:shapedefaults>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FE688A"/>
    <w:rsid w:val="00013DC3"/>
    <w:rsid w:val="00013FBC"/>
    <w:rsid w:val="000174E7"/>
    <w:rsid w:val="00022629"/>
    <w:rsid w:val="00032D49"/>
    <w:rsid w:val="00034762"/>
    <w:rsid w:val="00035196"/>
    <w:rsid w:val="00035326"/>
    <w:rsid w:val="00040743"/>
    <w:rsid w:val="00064B2F"/>
    <w:rsid w:val="00087386"/>
    <w:rsid w:val="0009452C"/>
    <w:rsid w:val="000A758B"/>
    <w:rsid w:val="000B08EB"/>
    <w:rsid w:val="000B2A38"/>
    <w:rsid w:val="000B4808"/>
    <w:rsid w:val="000B5B0B"/>
    <w:rsid w:val="000C5C9C"/>
    <w:rsid w:val="000C6BE2"/>
    <w:rsid w:val="000D1E82"/>
    <w:rsid w:val="0010223C"/>
    <w:rsid w:val="001038F9"/>
    <w:rsid w:val="001209F4"/>
    <w:rsid w:val="00127702"/>
    <w:rsid w:val="00131BB1"/>
    <w:rsid w:val="00143240"/>
    <w:rsid w:val="00147C3A"/>
    <w:rsid w:val="0017017E"/>
    <w:rsid w:val="001728C9"/>
    <w:rsid w:val="00175596"/>
    <w:rsid w:val="00181A91"/>
    <w:rsid w:val="001844F6"/>
    <w:rsid w:val="00192386"/>
    <w:rsid w:val="0019303B"/>
    <w:rsid w:val="001B153C"/>
    <w:rsid w:val="001B3B4D"/>
    <w:rsid w:val="001E1448"/>
    <w:rsid w:val="001F5EC3"/>
    <w:rsid w:val="002056C6"/>
    <w:rsid w:val="00205EE8"/>
    <w:rsid w:val="00206B27"/>
    <w:rsid w:val="0022164D"/>
    <w:rsid w:val="00222F7F"/>
    <w:rsid w:val="00230246"/>
    <w:rsid w:val="0023584E"/>
    <w:rsid w:val="00243125"/>
    <w:rsid w:val="00243ABB"/>
    <w:rsid w:val="00243EAD"/>
    <w:rsid w:val="00256AE0"/>
    <w:rsid w:val="00256EE0"/>
    <w:rsid w:val="0025774B"/>
    <w:rsid w:val="00260E9B"/>
    <w:rsid w:val="00264F88"/>
    <w:rsid w:val="00270946"/>
    <w:rsid w:val="002A5D15"/>
    <w:rsid w:val="002B2AA2"/>
    <w:rsid w:val="002C11AF"/>
    <w:rsid w:val="002C5371"/>
    <w:rsid w:val="002D1D22"/>
    <w:rsid w:val="002D2BC9"/>
    <w:rsid w:val="002E4F2C"/>
    <w:rsid w:val="002F7D7D"/>
    <w:rsid w:val="003053F1"/>
    <w:rsid w:val="00306B0B"/>
    <w:rsid w:val="00322A96"/>
    <w:rsid w:val="003243DA"/>
    <w:rsid w:val="00324B27"/>
    <w:rsid w:val="003272AB"/>
    <w:rsid w:val="00335761"/>
    <w:rsid w:val="0033773A"/>
    <w:rsid w:val="00342D7C"/>
    <w:rsid w:val="00350825"/>
    <w:rsid w:val="003626A5"/>
    <w:rsid w:val="00363419"/>
    <w:rsid w:val="00377328"/>
    <w:rsid w:val="003936DF"/>
    <w:rsid w:val="003A2539"/>
    <w:rsid w:val="003A375F"/>
    <w:rsid w:val="003A71E8"/>
    <w:rsid w:val="003B1807"/>
    <w:rsid w:val="003C1383"/>
    <w:rsid w:val="003C6B90"/>
    <w:rsid w:val="003C6DA8"/>
    <w:rsid w:val="003C7762"/>
    <w:rsid w:val="003E30CB"/>
    <w:rsid w:val="003E50D9"/>
    <w:rsid w:val="00414FB2"/>
    <w:rsid w:val="00415484"/>
    <w:rsid w:val="00415A8F"/>
    <w:rsid w:val="00420FA8"/>
    <w:rsid w:val="00424F2D"/>
    <w:rsid w:val="00444DBD"/>
    <w:rsid w:val="004527B9"/>
    <w:rsid w:val="00454E17"/>
    <w:rsid w:val="0047234A"/>
    <w:rsid w:val="00475D44"/>
    <w:rsid w:val="00482A47"/>
    <w:rsid w:val="00486156"/>
    <w:rsid w:val="004950B6"/>
    <w:rsid w:val="004A16E1"/>
    <w:rsid w:val="004A27D2"/>
    <w:rsid w:val="004A5DA7"/>
    <w:rsid w:val="004B6929"/>
    <w:rsid w:val="004B697A"/>
    <w:rsid w:val="004C011A"/>
    <w:rsid w:val="004C1607"/>
    <w:rsid w:val="00513EAB"/>
    <w:rsid w:val="00517964"/>
    <w:rsid w:val="005317C6"/>
    <w:rsid w:val="00544352"/>
    <w:rsid w:val="005472E7"/>
    <w:rsid w:val="0055243E"/>
    <w:rsid w:val="005528B5"/>
    <w:rsid w:val="005559C6"/>
    <w:rsid w:val="00561E8C"/>
    <w:rsid w:val="00564D4C"/>
    <w:rsid w:val="00566CF6"/>
    <w:rsid w:val="0057338F"/>
    <w:rsid w:val="0057512C"/>
    <w:rsid w:val="0058735E"/>
    <w:rsid w:val="00592BA8"/>
    <w:rsid w:val="00596F5B"/>
    <w:rsid w:val="005A0962"/>
    <w:rsid w:val="005B0C99"/>
    <w:rsid w:val="005B3728"/>
    <w:rsid w:val="005B4F2B"/>
    <w:rsid w:val="005C5C2F"/>
    <w:rsid w:val="005D50D8"/>
    <w:rsid w:val="005E4884"/>
    <w:rsid w:val="005F5398"/>
    <w:rsid w:val="00615A34"/>
    <w:rsid w:val="0061755A"/>
    <w:rsid w:val="0062159F"/>
    <w:rsid w:val="00627198"/>
    <w:rsid w:val="00647BF7"/>
    <w:rsid w:val="00652D89"/>
    <w:rsid w:val="006670C3"/>
    <w:rsid w:val="006857B1"/>
    <w:rsid w:val="006912BB"/>
    <w:rsid w:val="00697C2B"/>
    <w:rsid w:val="006A6113"/>
    <w:rsid w:val="006B1D6D"/>
    <w:rsid w:val="006B3278"/>
    <w:rsid w:val="006C2BA4"/>
    <w:rsid w:val="006D2F03"/>
    <w:rsid w:val="006D574B"/>
    <w:rsid w:val="006D7FFD"/>
    <w:rsid w:val="006E160E"/>
    <w:rsid w:val="006F5822"/>
    <w:rsid w:val="0070081C"/>
    <w:rsid w:val="007161A2"/>
    <w:rsid w:val="007170ED"/>
    <w:rsid w:val="0072619B"/>
    <w:rsid w:val="00730017"/>
    <w:rsid w:val="00732F9D"/>
    <w:rsid w:val="007374E9"/>
    <w:rsid w:val="00742AA9"/>
    <w:rsid w:val="00747E91"/>
    <w:rsid w:val="00750279"/>
    <w:rsid w:val="00756FDD"/>
    <w:rsid w:val="007610B7"/>
    <w:rsid w:val="00765303"/>
    <w:rsid w:val="00785422"/>
    <w:rsid w:val="007A3FF3"/>
    <w:rsid w:val="007A7C69"/>
    <w:rsid w:val="007C0D1A"/>
    <w:rsid w:val="007D16FA"/>
    <w:rsid w:val="007D78CB"/>
    <w:rsid w:val="007E5EBD"/>
    <w:rsid w:val="007E61E1"/>
    <w:rsid w:val="00802AB9"/>
    <w:rsid w:val="00804EFA"/>
    <w:rsid w:val="00810A0F"/>
    <w:rsid w:val="008200DB"/>
    <w:rsid w:val="00821976"/>
    <w:rsid w:val="008237EF"/>
    <w:rsid w:val="00824BD8"/>
    <w:rsid w:val="00825578"/>
    <w:rsid w:val="0084229B"/>
    <w:rsid w:val="00844BDF"/>
    <w:rsid w:val="0084634B"/>
    <w:rsid w:val="0085267F"/>
    <w:rsid w:val="0088517E"/>
    <w:rsid w:val="008966DD"/>
    <w:rsid w:val="00897A1B"/>
    <w:rsid w:val="008A3E98"/>
    <w:rsid w:val="008A568F"/>
    <w:rsid w:val="008B3C35"/>
    <w:rsid w:val="008B4227"/>
    <w:rsid w:val="008D2E19"/>
    <w:rsid w:val="008E04A7"/>
    <w:rsid w:val="008E6F5D"/>
    <w:rsid w:val="00900A17"/>
    <w:rsid w:val="00900EA2"/>
    <w:rsid w:val="00902583"/>
    <w:rsid w:val="009051B4"/>
    <w:rsid w:val="00913305"/>
    <w:rsid w:val="009171EE"/>
    <w:rsid w:val="0093424C"/>
    <w:rsid w:val="00934BB7"/>
    <w:rsid w:val="0093642D"/>
    <w:rsid w:val="0094546E"/>
    <w:rsid w:val="0095098F"/>
    <w:rsid w:val="00950FE8"/>
    <w:rsid w:val="00957E08"/>
    <w:rsid w:val="00960531"/>
    <w:rsid w:val="0096414F"/>
    <w:rsid w:val="00965D97"/>
    <w:rsid w:val="00977BB3"/>
    <w:rsid w:val="00990CD5"/>
    <w:rsid w:val="00997C82"/>
    <w:rsid w:val="009C01D5"/>
    <w:rsid w:val="009C121B"/>
    <w:rsid w:val="009C629D"/>
    <w:rsid w:val="009E0BB9"/>
    <w:rsid w:val="009E4F19"/>
    <w:rsid w:val="009E54DA"/>
    <w:rsid w:val="009F6E3D"/>
    <w:rsid w:val="00A047D7"/>
    <w:rsid w:val="00A172B6"/>
    <w:rsid w:val="00A22EBC"/>
    <w:rsid w:val="00A33523"/>
    <w:rsid w:val="00A40A4F"/>
    <w:rsid w:val="00A437D4"/>
    <w:rsid w:val="00A44AD3"/>
    <w:rsid w:val="00A45569"/>
    <w:rsid w:val="00A56406"/>
    <w:rsid w:val="00A6159E"/>
    <w:rsid w:val="00A67568"/>
    <w:rsid w:val="00A75E14"/>
    <w:rsid w:val="00A8464B"/>
    <w:rsid w:val="00A9295B"/>
    <w:rsid w:val="00AA00D7"/>
    <w:rsid w:val="00AA28E6"/>
    <w:rsid w:val="00AC12A4"/>
    <w:rsid w:val="00AE5941"/>
    <w:rsid w:val="00AE7F92"/>
    <w:rsid w:val="00AF01F0"/>
    <w:rsid w:val="00AF0A55"/>
    <w:rsid w:val="00B054EF"/>
    <w:rsid w:val="00B1217E"/>
    <w:rsid w:val="00B13F90"/>
    <w:rsid w:val="00B14385"/>
    <w:rsid w:val="00B20D8E"/>
    <w:rsid w:val="00B2204A"/>
    <w:rsid w:val="00B3022A"/>
    <w:rsid w:val="00B36519"/>
    <w:rsid w:val="00B4181E"/>
    <w:rsid w:val="00B445A2"/>
    <w:rsid w:val="00B5187A"/>
    <w:rsid w:val="00B634BC"/>
    <w:rsid w:val="00B636F0"/>
    <w:rsid w:val="00B65134"/>
    <w:rsid w:val="00B6739A"/>
    <w:rsid w:val="00B706F2"/>
    <w:rsid w:val="00B8162E"/>
    <w:rsid w:val="00B91602"/>
    <w:rsid w:val="00B91B07"/>
    <w:rsid w:val="00B93DBA"/>
    <w:rsid w:val="00BA13F9"/>
    <w:rsid w:val="00BA50E0"/>
    <w:rsid w:val="00BB3CAF"/>
    <w:rsid w:val="00BB3DB9"/>
    <w:rsid w:val="00BB4508"/>
    <w:rsid w:val="00BB4EC1"/>
    <w:rsid w:val="00BC220E"/>
    <w:rsid w:val="00BC2F58"/>
    <w:rsid w:val="00BD3BDE"/>
    <w:rsid w:val="00BD5D54"/>
    <w:rsid w:val="00BE51E8"/>
    <w:rsid w:val="00BF3E42"/>
    <w:rsid w:val="00BF40A7"/>
    <w:rsid w:val="00BF6A15"/>
    <w:rsid w:val="00C0037C"/>
    <w:rsid w:val="00C01B06"/>
    <w:rsid w:val="00C06EAD"/>
    <w:rsid w:val="00C13A9A"/>
    <w:rsid w:val="00C2049A"/>
    <w:rsid w:val="00C31794"/>
    <w:rsid w:val="00C33F91"/>
    <w:rsid w:val="00C40E7A"/>
    <w:rsid w:val="00C425BE"/>
    <w:rsid w:val="00C475EB"/>
    <w:rsid w:val="00C6140D"/>
    <w:rsid w:val="00C62825"/>
    <w:rsid w:val="00C6411F"/>
    <w:rsid w:val="00C6494F"/>
    <w:rsid w:val="00C676FC"/>
    <w:rsid w:val="00C70304"/>
    <w:rsid w:val="00C7114D"/>
    <w:rsid w:val="00C77F9D"/>
    <w:rsid w:val="00C86469"/>
    <w:rsid w:val="00C90551"/>
    <w:rsid w:val="00C930A0"/>
    <w:rsid w:val="00CA30F1"/>
    <w:rsid w:val="00CA5322"/>
    <w:rsid w:val="00CA5343"/>
    <w:rsid w:val="00CA713A"/>
    <w:rsid w:val="00CD0285"/>
    <w:rsid w:val="00CD2836"/>
    <w:rsid w:val="00CD2CC2"/>
    <w:rsid w:val="00CD30F4"/>
    <w:rsid w:val="00CE6F09"/>
    <w:rsid w:val="00CF1A1B"/>
    <w:rsid w:val="00CF60FC"/>
    <w:rsid w:val="00D011C8"/>
    <w:rsid w:val="00D01AE9"/>
    <w:rsid w:val="00D1105F"/>
    <w:rsid w:val="00D11B41"/>
    <w:rsid w:val="00D121EF"/>
    <w:rsid w:val="00D57432"/>
    <w:rsid w:val="00D57A38"/>
    <w:rsid w:val="00D64795"/>
    <w:rsid w:val="00D67376"/>
    <w:rsid w:val="00D75DBB"/>
    <w:rsid w:val="00D81D11"/>
    <w:rsid w:val="00D8318E"/>
    <w:rsid w:val="00D83523"/>
    <w:rsid w:val="00D83A62"/>
    <w:rsid w:val="00D86872"/>
    <w:rsid w:val="00D86EFC"/>
    <w:rsid w:val="00D9072B"/>
    <w:rsid w:val="00D92A4E"/>
    <w:rsid w:val="00D94C00"/>
    <w:rsid w:val="00DA3EB5"/>
    <w:rsid w:val="00DA7549"/>
    <w:rsid w:val="00DB65F2"/>
    <w:rsid w:val="00DC23E5"/>
    <w:rsid w:val="00DD36AF"/>
    <w:rsid w:val="00DD6F6D"/>
    <w:rsid w:val="00DE501D"/>
    <w:rsid w:val="00DE5B22"/>
    <w:rsid w:val="00E02875"/>
    <w:rsid w:val="00E145B3"/>
    <w:rsid w:val="00E21DC1"/>
    <w:rsid w:val="00E306C6"/>
    <w:rsid w:val="00E31900"/>
    <w:rsid w:val="00E52A90"/>
    <w:rsid w:val="00E52CD6"/>
    <w:rsid w:val="00E57227"/>
    <w:rsid w:val="00E60518"/>
    <w:rsid w:val="00E6265B"/>
    <w:rsid w:val="00E62846"/>
    <w:rsid w:val="00E62D29"/>
    <w:rsid w:val="00E66DC6"/>
    <w:rsid w:val="00E70BB4"/>
    <w:rsid w:val="00E7368A"/>
    <w:rsid w:val="00E8674A"/>
    <w:rsid w:val="00E908E5"/>
    <w:rsid w:val="00E90A13"/>
    <w:rsid w:val="00E93D36"/>
    <w:rsid w:val="00EA22C1"/>
    <w:rsid w:val="00EA369F"/>
    <w:rsid w:val="00EA6EBC"/>
    <w:rsid w:val="00EB1763"/>
    <w:rsid w:val="00EB53B5"/>
    <w:rsid w:val="00EC5F38"/>
    <w:rsid w:val="00EC625A"/>
    <w:rsid w:val="00ED0CBE"/>
    <w:rsid w:val="00EE5A48"/>
    <w:rsid w:val="00EF07D0"/>
    <w:rsid w:val="00EF576E"/>
    <w:rsid w:val="00F00A09"/>
    <w:rsid w:val="00F05919"/>
    <w:rsid w:val="00F16E9B"/>
    <w:rsid w:val="00F17850"/>
    <w:rsid w:val="00F279DC"/>
    <w:rsid w:val="00F33079"/>
    <w:rsid w:val="00F61421"/>
    <w:rsid w:val="00F671BD"/>
    <w:rsid w:val="00F72995"/>
    <w:rsid w:val="00F749E2"/>
    <w:rsid w:val="00F77FA8"/>
    <w:rsid w:val="00F82175"/>
    <w:rsid w:val="00F84240"/>
    <w:rsid w:val="00F94D7E"/>
    <w:rsid w:val="00FB2975"/>
    <w:rsid w:val="00FB78E9"/>
    <w:rsid w:val="00FC04C5"/>
    <w:rsid w:val="00FC10C3"/>
    <w:rsid w:val="00FC1443"/>
    <w:rsid w:val="00FC33DA"/>
    <w:rsid w:val="00FC6368"/>
    <w:rsid w:val="00FD13F9"/>
    <w:rsid w:val="00FD3366"/>
    <w:rsid w:val="00FE6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69"/>
    <w:pPr>
      <w:spacing w:after="200" w:line="276" w:lineRule="auto"/>
    </w:pPr>
    <w:rPr>
      <w:sz w:val="22"/>
      <w:szCs w:val="22"/>
      <w:lang w:eastAsia="en-US"/>
    </w:rPr>
  </w:style>
  <w:style w:type="paragraph" w:styleId="Ttulo1">
    <w:name w:val="heading 1"/>
    <w:basedOn w:val="Normal"/>
    <w:link w:val="Ttulo1Car"/>
    <w:uiPriority w:val="9"/>
    <w:qFormat/>
    <w:rsid w:val="003B1807"/>
    <w:pPr>
      <w:spacing w:after="0"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3B1807"/>
    <w:pPr>
      <w:spacing w:after="0"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807"/>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3B1807"/>
    <w:rPr>
      <w:rFonts w:ascii="Times New Roman" w:eastAsia="Times New Roman" w:hAnsi="Times New Roman"/>
      <w:b/>
      <w:bCs/>
      <w:sz w:val="36"/>
      <w:szCs w:val="36"/>
    </w:rPr>
  </w:style>
  <w:style w:type="paragraph" w:styleId="Sinespaciado">
    <w:name w:val="No Spacing"/>
    <w:uiPriority w:val="1"/>
    <w:qFormat/>
    <w:rsid w:val="00B14385"/>
    <w:rPr>
      <w:sz w:val="22"/>
      <w:szCs w:val="22"/>
      <w:lang w:eastAsia="en-US"/>
    </w:rPr>
  </w:style>
  <w:style w:type="character" w:styleId="Hipervnculo">
    <w:name w:val="Hyperlink"/>
    <w:basedOn w:val="Fuentedeprrafopredeter"/>
    <w:uiPriority w:val="99"/>
    <w:rsid w:val="00B14385"/>
    <w:rPr>
      <w:color w:val="0000FF"/>
      <w:u w:val="single"/>
    </w:rPr>
  </w:style>
  <w:style w:type="paragraph" w:customStyle="1" w:styleId="atextoblanco6">
    <w:name w:val="atexto_blanco_6"/>
    <w:basedOn w:val="Normal"/>
    <w:rsid w:val="00B91B07"/>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link w:val="TextosinformatoCar"/>
    <w:uiPriority w:val="99"/>
    <w:unhideWhenUsed/>
    <w:rsid w:val="00B91B0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91B07"/>
    <w:rPr>
      <w:rFonts w:ascii="Consolas" w:hAnsi="Consolas"/>
      <w:sz w:val="21"/>
      <w:szCs w:val="21"/>
      <w:lang w:eastAsia="en-US"/>
    </w:rPr>
  </w:style>
  <w:style w:type="paragraph" w:styleId="Encabezado">
    <w:name w:val="header"/>
    <w:basedOn w:val="Normal"/>
    <w:link w:val="EncabezadoCar"/>
    <w:uiPriority w:val="99"/>
    <w:unhideWhenUsed/>
    <w:rsid w:val="00C90551"/>
    <w:pPr>
      <w:tabs>
        <w:tab w:val="center" w:pos="4252"/>
        <w:tab w:val="right" w:pos="8504"/>
      </w:tabs>
    </w:pPr>
  </w:style>
  <w:style w:type="character" w:customStyle="1" w:styleId="EncabezadoCar">
    <w:name w:val="Encabezado Car"/>
    <w:basedOn w:val="Fuentedeprrafopredeter"/>
    <w:link w:val="Encabezado"/>
    <w:uiPriority w:val="99"/>
    <w:rsid w:val="00C90551"/>
    <w:rPr>
      <w:sz w:val="22"/>
      <w:szCs w:val="22"/>
      <w:lang w:eastAsia="en-US"/>
    </w:rPr>
  </w:style>
  <w:style w:type="paragraph" w:styleId="Piedepgina">
    <w:name w:val="footer"/>
    <w:basedOn w:val="Normal"/>
    <w:link w:val="PiedepginaCar"/>
    <w:uiPriority w:val="99"/>
    <w:semiHidden/>
    <w:unhideWhenUsed/>
    <w:rsid w:val="00C90551"/>
    <w:pPr>
      <w:tabs>
        <w:tab w:val="center" w:pos="4252"/>
        <w:tab w:val="right" w:pos="8504"/>
      </w:tabs>
    </w:pPr>
  </w:style>
  <w:style w:type="character" w:customStyle="1" w:styleId="PiedepginaCar">
    <w:name w:val="Pie de página Car"/>
    <w:basedOn w:val="Fuentedeprrafopredeter"/>
    <w:link w:val="Piedepgina"/>
    <w:uiPriority w:val="99"/>
    <w:semiHidden/>
    <w:rsid w:val="00C90551"/>
    <w:rPr>
      <w:sz w:val="22"/>
      <w:szCs w:val="22"/>
      <w:lang w:eastAsia="en-US"/>
    </w:rPr>
  </w:style>
  <w:style w:type="paragraph" w:styleId="Textodeglobo">
    <w:name w:val="Balloon Text"/>
    <w:basedOn w:val="Normal"/>
    <w:link w:val="TextodegloboCar"/>
    <w:uiPriority w:val="99"/>
    <w:semiHidden/>
    <w:unhideWhenUsed/>
    <w:rsid w:val="00EB1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63"/>
    <w:rPr>
      <w:rFonts w:ascii="Tahoma" w:hAnsi="Tahoma" w:cs="Tahoma"/>
      <w:sz w:val="16"/>
      <w:szCs w:val="16"/>
      <w:lang w:eastAsia="en-US"/>
    </w:rPr>
  </w:style>
  <w:style w:type="paragraph" w:styleId="Revisin">
    <w:name w:val="Revision"/>
    <w:hidden/>
    <w:uiPriority w:val="99"/>
    <w:semiHidden/>
    <w:rsid w:val="00EB1763"/>
    <w:rPr>
      <w:sz w:val="22"/>
      <w:szCs w:val="22"/>
      <w:lang w:eastAsia="en-US"/>
    </w:rPr>
  </w:style>
  <w:style w:type="paragraph" w:customStyle="1" w:styleId="Default">
    <w:name w:val="Default"/>
    <w:rsid w:val="00F279DC"/>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F279DC"/>
    <w:pPr>
      <w:spacing w:line="201" w:lineRule="atLeast"/>
    </w:pPr>
    <w:rPr>
      <w:color w:val="auto"/>
    </w:rPr>
  </w:style>
  <w:style w:type="paragraph" w:styleId="NormalWeb">
    <w:name w:val="Normal (Web)"/>
    <w:basedOn w:val="Normal"/>
    <w:uiPriority w:val="99"/>
    <w:rsid w:val="00D1105F"/>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1B3B4D"/>
    <w:pPr>
      <w:spacing w:after="0" w:line="240" w:lineRule="auto"/>
      <w:jc w:val="both"/>
    </w:pPr>
    <w:rPr>
      <w:rFonts w:ascii="Times New Roman" w:eastAsia="Times New Roman" w:hAnsi="Times New Roman"/>
      <w:b/>
      <w:bCs/>
      <w:sz w:val="32"/>
      <w:szCs w:val="24"/>
      <w:lang w:eastAsia="es-ES"/>
    </w:rPr>
  </w:style>
  <w:style w:type="character" w:customStyle="1" w:styleId="TextoindependienteCar">
    <w:name w:val="Texto independiente Car"/>
    <w:basedOn w:val="Fuentedeprrafopredeter"/>
    <w:link w:val="Textoindependiente"/>
    <w:semiHidden/>
    <w:rsid w:val="001B3B4D"/>
    <w:rPr>
      <w:rFonts w:ascii="Times New Roman" w:eastAsia="Times New Roman" w:hAnsi="Times New Roman"/>
      <w:b/>
      <w:bCs/>
      <w:sz w:val="32"/>
      <w:szCs w:val="24"/>
    </w:rPr>
  </w:style>
  <w:style w:type="paragraph" w:styleId="Prrafodelista">
    <w:name w:val="List Paragraph"/>
    <w:basedOn w:val="Normal"/>
    <w:uiPriority w:val="34"/>
    <w:qFormat/>
    <w:rsid w:val="00FB2975"/>
    <w:pPr>
      <w:spacing w:after="0" w:line="240" w:lineRule="auto"/>
      <w:ind w:left="720"/>
      <w:contextualSpacing/>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CD30F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CD30F4"/>
    <w:rPr>
      <w:rFonts w:ascii="Times New Roman" w:eastAsia="Times New Roman" w:hAnsi="Times New Roman"/>
    </w:rPr>
  </w:style>
  <w:style w:type="table" w:styleId="Tablaconcuadrcula">
    <w:name w:val="Table Grid"/>
    <w:basedOn w:val="Tablanormal"/>
    <w:uiPriority w:val="59"/>
    <w:rsid w:val="0036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b">
    <w:name w:val="normal2b"/>
    <w:basedOn w:val="Fuentedeprrafopredeter"/>
    <w:rsid w:val="00C33F91"/>
  </w:style>
  <w:style w:type="paragraph" w:customStyle="1" w:styleId="Pa7">
    <w:name w:val="Pa7"/>
    <w:basedOn w:val="Default"/>
    <w:next w:val="Default"/>
    <w:uiPriority w:val="99"/>
    <w:rsid w:val="009171EE"/>
    <w:pPr>
      <w:spacing w:line="201" w:lineRule="atLeast"/>
    </w:pPr>
    <w:rPr>
      <w:color w:val="auto"/>
      <w:lang w:eastAsia="es-ES"/>
    </w:rPr>
  </w:style>
</w:styles>
</file>

<file path=word/webSettings.xml><?xml version="1.0" encoding="utf-8"?>
<w:webSettings xmlns:r="http://schemas.openxmlformats.org/officeDocument/2006/relationships" xmlns:w="http://schemas.openxmlformats.org/wordprocessingml/2006/main">
  <w:divs>
    <w:div w:id="708800369">
      <w:bodyDiv w:val="1"/>
      <w:marLeft w:val="0"/>
      <w:marRight w:val="0"/>
      <w:marTop w:val="0"/>
      <w:marBottom w:val="0"/>
      <w:divBdr>
        <w:top w:val="none" w:sz="0" w:space="0" w:color="auto"/>
        <w:left w:val="none" w:sz="0" w:space="0" w:color="auto"/>
        <w:bottom w:val="none" w:sz="0" w:space="0" w:color="auto"/>
        <w:right w:val="none" w:sz="0" w:space="0" w:color="auto"/>
      </w:divBdr>
      <w:divsChild>
        <w:div w:id="1551768772">
          <w:marLeft w:val="0"/>
          <w:marRight w:val="0"/>
          <w:marTop w:val="0"/>
          <w:marBottom w:val="0"/>
          <w:divBdr>
            <w:top w:val="none" w:sz="0" w:space="0" w:color="auto"/>
            <w:left w:val="none" w:sz="0" w:space="0" w:color="auto"/>
            <w:bottom w:val="none" w:sz="0" w:space="0" w:color="auto"/>
            <w:right w:val="none" w:sz="0" w:space="0" w:color="auto"/>
          </w:divBdr>
          <w:divsChild>
            <w:div w:id="424615340">
              <w:marLeft w:val="0"/>
              <w:marRight w:val="0"/>
              <w:marTop w:val="0"/>
              <w:marBottom w:val="0"/>
              <w:divBdr>
                <w:top w:val="none" w:sz="0" w:space="0" w:color="auto"/>
                <w:left w:val="none" w:sz="0" w:space="0" w:color="auto"/>
                <w:bottom w:val="none" w:sz="0" w:space="0" w:color="auto"/>
                <w:right w:val="none" w:sz="0" w:space="0" w:color="auto"/>
              </w:divBdr>
              <w:divsChild>
                <w:div w:id="768739042">
                  <w:marLeft w:val="0"/>
                  <w:marRight w:val="0"/>
                  <w:marTop w:val="0"/>
                  <w:marBottom w:val="0"/>
                  <w:divBdr>
                    <w:top w:val="none" w:sz="0" w:space="0" w:color="auto"/>
                    <w:left w:val="none" w:sz="0" w:space="0" w:color="auto"/>
                    <w:bottom w:val="none" w:sz="0" w:space="0" w:color="auto"/>
                    <w:right w:val="none" w:sz="0" w:space="0" w:color="auto"/>
                  </w:divBdr>
                  <w:divsChild>
                    <w:div w:id="1513495772">
                      <w:marLeft w:val="0"/>
                      <w:marRight w:val="0"/>
                      <w:marTop w:val="0"/>
                      <w:marBottom w:val="0"/>
                      <w:divBdr>
                        <w:top w:val="none" w:sz="0" w:space="0" w:color="auto"/>
                        <w:left w:val="none" w:sz="0" w:space="0" w:color="auto"/>
                        <w:bottom w:val="none" w:sz="0" w:space="0" w:color="auto"/>
                        <w:right w:val="none" w:sz="0" w:space="0" w:color="auto"/>
                      </w:divBdr>
                      <w:divsChild>
                        <w:div w:id="795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021">
      <w:bodyDiv w:val="1"/>
      <w:marLeft w:val="0"/>
      <w:marRight w:val="0"/>
      <w:marTop w:val="0"/>
      <w:marBottom w:val="0"/>
      <w:divBdr>
        <w:top w:val="none" w:sz="0" w:space="0" w:color="auto"/>
        <w:left w:val="none" w:sz="0" w:space="0" w:color="auto"/>
        <w:bottom w:val="none" w:sz="0" w:space="0" w:color="auto"/>
        <w:right w:val="none" w:sz="0" w:space="0" w:color="auto"/>
      </w:divBdr>
    </w:div>
    <w:div w:id="1270046121">
      <w:bodyDiv w:val="1"/>
      <w:marLeft w:val="0"/>
      <w:marRight w:val="0"/>
      <w:marTop w:val="0"/>
      <w:marBottom w:val="0"/>
      <w:divBdr>
        <w:top w:val="none" w:sz="0" w:space="0" w:color="auto"/>
        <w:left w:val="none" w:sz="0" w:space="0" w:color="auto"/>
        <w:bottom w:val="none" w:sz="0" w:space="0" w:color="auto"/>
        <w:right w:val="none" w:sz="0" w:space="0" w:color="auto"/>
      </w:divBdr>
    </w:div>
    <w:div w:id="1834372291">
      <w:bodyDiv w:val="1"/>
      <w:marLeft w:val="0"/>
      <w:marRight w:val="0"/>
      <w:marTop w:val="0"/>
      <w:marBottom w:val="0"/>
      <w:divBdr>
        <w:top w:val="none" w:sz="0" w:space="0" w:color="auto"/>
        <w:left w:val="none" w:sz="0" w:space="0" w:color="auto"/>
        <w:bottom w:val="none" w:sz="0" w:space="0" w:color="auto"/>
        <w:right w:val="none" w:sz="0" w:space="0" w:color="auto"/>
      </w:divBdr>
      <w:divsChild>
        <w:div w:id="489836629">
          <w:marLeft w:val="0"/>
          <w:marRight w:val="0"/>
          <w:marTop w:val="0"/>
          <w:marBottom w:val="0"/>
          <w:divBdr>
            <w:top w:val="none" w:sz="0" w:space="0" w:color="auto"/>
            <w:left w:val="none" w:sz="0" w:space="0" w:color="auto"/>
            <w:bottom w:val="none" w:sz="0" w:space="0" w:color="auto"/>
            <w:right w:val="none" w:sz="0" w:space="0" w:color="auto"/>
          </w:divBdr>
        </w:div>
      </w:divsChild>
    </w:div>
    <w:div w:id="1909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78C8-8E94-4FF7-8330-A5927673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CharactersWithSpaces>
  <SharedDoc>false</SharedDoc>
  <HLinks>
    <vt:vector size="18" baseType="variant">
      <vt:variant>
        <vt:i4>7471160</vt:i4>
      </vt:variant>
      <vt:variant>
        <vt:i4>3</vt:i4>
      </vt:variant>
      <vt:variant>
        <vt:i4>0</vt:i4>
      </vt:variant>
      <vt:variant>
        <vt:i4>5</vt:i4>
      </vt:variant>
      <vt:variant>
        <vt:lpwstr>http://www.enac.es/</vt:lpwstr>
      </vt:variant>
      <vt:variant>
        <vt:lpwstr/>
      </vt:variant>
      <vt:variant>
        <vt:i4>7471160</vt:i4>
      </vt:variant>
      <vt:variant>
        <vt:i4>0</vt:i4>
      </vt:variant>
      <vt:variant>
        <vt:i4>0</vt:i4>
      </vt:variant>
      <vt:variant>
        <vt:i4>5</vt:i4>
      </vt:variant>
      <vt:variant>
        <vt:lpwstr>http://www.enac.es/</vt:lpwstr>
      </vt:variant>
      <vt:variant>
        <vt:lpwstr/>
      </vt: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IreneGonzalez</cp:lastModifiedBy>
  <cp:revision>2</cp:revision>
  <cp:lastPrinted>2012-03-14T11:44:00Z</cp:lastPrinted>
  <dcterms:created xsi:type="dcterms:W3CDTF">2012-06-25T11:58:00Z</dcterms:created>
  <dcterms:modified xsi:type="dcterms:W3CDTF">2012-06-25T11:58:00Z</dcterms:modified>
</cp:coreProperties>
</file>