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473E13" w:rsidR="008B14F4" w:rsidRDefault="00C25C3E">
      <w:pPr>
        <w:spacing w:after="160" w:line="259" w:lineRule="auto"/>
        <w:jc w:val="both"/>
        <w:rPr>
          <w:rFonts w:ascii="Calibri" w:eastAsia="Calibri" w:hAnsi="Calibri" w:cs="Calibri"/>
          <w:b/>
          <w:sz w:val="36"/>
          <w:szCs w:val="36"/>
        </w:rPr>
      </w:pPr>
      <w:r w:rsidRPr="21D6A7EA">
        <w:rPr>
          <w:rFonts w:ascii="Calibri" w:eastAsia="Calibri" w:hAnsi="Calibri" w:cs="Calibri"/>
          <w:b/>
          <w:bCs/>
          <w:sz w:val="36"/>
          <w:szCs w:val="36"/>
        </w:rPr>
        <w:t>Servicios diagnósticos</w:t>
      </w:r>
      <w:r w:rsidR="00F11EBF" w:rsidRPr="21D6A7EA">
        <w:rPr>
          <w:rFonts w:ascii="Calibri" w:eastAsia="Calibri" w:hAnsi="Calibri" w:cs="Calibri"/>
          <w:b/>
          <w:bCs/>
          <w:sz w:val="36"/>
          <w:szCs w:val="36"/>
        </w:rPr>
        <w:t xml:space="preserve"> acreditados, fiabilidad en los resultados en beneficio del paciente </w:t>
      </w:r>
    </w:p>
    <w:p w14:paraId="576D1CA2" w14:textId="73CC3419" w:rsidR="001A0D7F" w:rsidRPr="00AF3997" w:rsidRDefault="31475A8F" w:rsidP="21D6A7EA">
      <w:pPr>
        <w:spacing w:after="160" w:line="259" w:lineRule="auto"/>
        <w:jc w:val="both"/>
        <w:rPr>
          <w:rFonts w:ascii="Calibri" w:eastAsia="Calibri" w:hAnsi="Calibri" w:cs="Calibri"/>
          <w:b/>
          <w:bCs/>
          <w:sz w:val="24"/>
          <w:szCs w:val="24"/>
        </w:rPr>
      </w:pPr>
      <w:r w:rsidRPr="00AF3997">
        <w:rPr>
          <w:rFonts w:ascii="Calibri" w:eastAsia="Calibri" w:hAnsi="Calibri" w:cs="Calibri"/>
          <w:b/>
          <w:bCs/>
          <w:sz w:val="24"/>
          <w:szCs w:val="24"/>
        </w:rPr>
        <w:t xml:space="preserve">Tras haber superado con éxito el proceso de evaluación de ENAC, </w:t>
      </w:r>
      <w:r w:rsidRPr="00DE658E">
        <w:rPr>
          <w:rFonts w:ascii="Calibri" w:eastAsia="Calibri" w:hAnsi="Calibri" w:cs="Calibri"/>
          <w:b/>
          <w:bCs/>
          <w:color w:val="FF0000"/>
          <w:sz w:val="24"/>
          <w:szCs w:val="24"/>
        </w:rPr>
        <w:t xml:space="preserve">XXX (nombre de la empresa) </w:t>
      </w:r>
      <w:r w:rsidRPr="00AF3997">
        <w:rPr>
          <w:rFonts w:ascii="Calibri" w:eastAsia="Calibri" w:hAnsi="Calibri" w:cs="Calibri"/>
          <w:b/>
          <w:bCs/>
          <w:sz w:val="24"/>
          <w:szCs w:val="24"/>
        </w:rPr>
        <w:t xml:space="preserve">está en disposición de ofrecer un servicio con mayores garantías que se traducirán en beneficios para los pacientes, los facultativos y el sector sanitario, en general. </w:t>
      </w:r>
    </w:p>
    <w:p w14:paraId="6545556D" w14:textId="539D0238" w:rsidR="00BD0B62" w:rsidRDefault="4810B8B2" w:rsidP="00AF3997">
      <w:pPr>
        <w:spacing w:after="100" w:afterAutospacing="1"/>
        <w:jc w:val="both"/>
        <w:rPr>
          <w:rFonts w:ascii="Calibri" w:eastAsia="Calibri" w:hAnsi="Calibri" w:cs="Calibri"/>
          <w:sz w:val="24"/>
          <w:szCs w:val="24"/>
        </w:rPr>
      </w:pPr>
      <w:r w:rsidRPr="21D6A7EA">
        <w:rPr>
          <w:rFonts w:ascii="Calibri" w:eastAsia="Calibri" w:hAnsi="Calibri" w:cs="Calibri"/>
          <w:sz w:val="24"/>
          <w:szCs w:val="24"/>
        </w:rPr>
        <w:t xml:space="preserve">La información que proporcionan los servicios diagnósticos (laboratorios clínicos, servicios de </w:t>
      </w:r>
      <w:r w:rsidR="1950B8EA" w:rsidRPr="21D6A7EA">
        <w:rPr>
          <w:rFonts w:ascii="Calibri" w:eastAsia="Calibri" w:hAnsi="Calibri" w:cs="Calibri"/>
          <w:sz w:val="24"/>
          <w:szCs w:val="24"/>
        </w:rPr>
        <w:t>anatomía</w:t>
      </w:r>
      <w:r w:rsidRPr="21D6A7EA">
        <w:rPr>
          <w:rFonts w:ascii="Calibri" w:eastAsia="Calibri" w:hAnsi="Calibri" w:cs="Calibri"/>
          <w:sz w:val="24"/>
          <w:szCs w:val="24"/>
        </w:rPr>
        <w:t xml:space="preserve"> patológica, etc</w:t>
      </w:r>
      <w:r w:rsidR="00B549A1">
        <w:rPr>
          <w:rFonts w:ascii="Calibri" w:eastAsia="Calibri" w:hAnsi="Calibri" w:cs="Calibri"/>
          <w:sz w:val="24"/>
          <w:szCs w:val="24"/>
        </w:rPr>
        <w:t>.</w:t>
      </w:r>
      <w:r w:rsidRPr="21D6A7EA">
        <w:rPr>
          <w:rFonts w:ascii="Calibri" w:eastAsia="Calibri" w:hAnsi="Calibri" w:cs="Calibri"/>
          <w:sz w:val="24"/>
          <w:szCs w:val="24"/>
        </w:rPr>
        <w:t xml:space="preserve">) </w:t>
      </w:r>
      <w:r w:rsidR="0B80788D" w:rsidRPr="21D6A7EA">
        <w:rPr>
          <w:rFonts w:ascii="Calibri" w:eastAsia="Calibri" w:hAnsi="Calibri" w:cs="Calibri"/>
          <w:sz w:val="24"/>
          <w:szCs w:val="24"/>
        </w:rPr>
        <w:t>es</w:t>
      </w:r>
      <w:r w:rsidR="00FD24B8" w:rsidRPr="21D6A7EA">
        <w:rPr>
          <w:rFonts w:ascii="Calibri" w:eastAsia="Calibri" w:hAnsi="Calibri" w:cs="Calibri"/>
          <w:sz w:val="24"/>
          <w:szCs w:val="24"/>
        </w:rPr>
        <w:t xml:space="preserve"> esencial </w:t>
      </w:r>
      <w:r w:rsidR="4760BDBE" w:rsidRPr="21D6A7EA">
        <w:rPr>
          <w:rFonts w:ascii="Calibri" w:eastAsia="Calibri" w:hAnsi="Calibri" w:cs="Calibri"/>
          <w:sz w:val="24"/>
          <w:szCs w:val="24"/>
        </w:rPr>
        <w:t xml:space="preserve">para asegurar </w:t>
      </w:r>
      <w:r w:rsidR="21D6A7EA" w:rsidRPr="21D6A7EA">
        <w:rPr>
          <w:rFonts w:ascii="Calibri" w:eastAsia="Calibri" w:hAnsi="Calibri" w:cs="Calibri"/>
          <w:sz w:val="24"/>
          <w:szCs w:val="24"/>
        </w:rPr>
        <w:t>que las decisiones clínicas se toman en base a resultados fiables minimizando así riesgos en la seguridad del paciente y aumentando la calidad diagnóstica</w:t>
      </w:r>
      <w:r w:rsidR="00E8595C">
        <w:rPr>
          <w:rFonts w:ascii="Calibri" w:eastAsia="Calibri" w:hAnsi="Calibri" w:cs="Calibri"/>
          <w:sz w:val="24"/>
          <w:szCs w:val="24"/>
        </w:rPr>
        <w:t>.</w:t>
      </w:r>
    </w:p>
    <w:p w14:paraId="1AF2E9F6" w14:textId="510076BB" w:rsidR="00E8595C" w:rsidRDefault="00794E6D" w:rsidP="00AF3997">
      <w:pPr>
        <w:spacing w:after="100" w:afterAutospacing="1"/>
        <w:jc w:val="both"/>
        <w:rPr>
          <w:rFonts w:ascii="Calibri" w:eastAsia="Calibri" w:hAnsi="Calibri" w:cs="Calibri"/>
          <w:sz w:val="24"/>
          <w:szCs w:val="24"/>
        </w:rPr>
      </w:pPr>
      <w:r w:rsidRPr="21D6A7EA">
        <w:rPr>
          <w:rFonts w:ascii="Calibri" w:eastAsia="Calibri" w:hAnsi="Calibri" w:cs="Calibri"/>
          <w:sz w:val="24"/>
          <w:szCs w:val="24"/>
        </w:rPr>
        <w:t xml:space="preserve">En este </w:t>
      </w:r>
      <w:r w:rsidR="00622CC6" w:rsidRPr="21D6A7EA">
        <w:rPr>
          <w:rFonts w:ascii="Calibri" w:eastAsia="Calibri" w:hAnsi="Calibri" w:cs="Calibri"/>
          <w:sz w:val="24"/>
          <w:szCs w:val="24"/>
        </w:rPr>
        <w:t>contexto, la</w:t>
      </w:r>
      <w:r w:rsidRPr="21D6A7EA">
        <w:rPr>
          <w:rFonts w:ascii="Calibri" w:eastAsia="Calibri" w:hAnsi="Calibri" w:cs="Calibri"/>
          <w:sz w:val="24"/>
          <w:szCs w:val="24"/>
        </w:rPr>
        <w:t xml:space="preserve"> </w:t>
      </w:r>
      <w:r w:rsidR="00F11EBF" w:rsidRPr="21D6A7EA">
        <w:rPr>
          <w:rFonts w:ascii="Calibri" w:eastAsia="Calibri" w:hAnsi="Calibri" w:cs="Calibri"/>
          <w:sz w:val="24"/>
          <w:szCs w:val="24"/>
        </w:rPr>
        <w:t xml:space="preserve">acreditación </w:t>
      </w:r>
      <w:r w:rsidR="00622CC6" w:rsidRPr="21D6A7EA">
        <w:rPr>
          <w:rFonts w:ascii="Calibri" w:eastAsia="Calibri" w:hAnsi="Calibri" w:cs="Calibri"/>
          <w:sz w:val="24"/>
          <w:szCs w:val="24"/>
        </w:rPr>
        <w:t xml:space="preserve">se ha </w:t>
      </w:r>
      <w:r w:rsidR="330A9560" w:rsidRPr="21D6A7EA">
        <w:rPr>
          <w:rFonts w:ascii="Calibri" w:eastAsia="Calibri" w:hAnsi="Calibri" w:cs="Calibri"/>
          <w:sz w:val="24"/>
          <w:szCs w:val="24"/>
        </w:rPr>
        <w:t xml:space="preserve">consolidado </w:t>
      </w:r>
      <w:r w:rsidR="00622CC6" w:rsidRPr="21D6A7EA">
        <w:rPr>
          <w:rFonts w:ascii="Calibri" w:eastAsia="Calibri" w:hAnsi="Calibri" w:cs="Calibri"/>
          <w:sz w:val="24"/>
          <w:szCs w:val="24"/>
        </w:rPr>
        <w:t xml:space="preserve">a nivel internacional como </w:t>
      </w:r>
      <w:r w:rsidR="00F11EBF" w:rsidRPr="21D6A7EA">
        <w:rPr>
          <w:rFonts w:ascii="Calibri" w:eastAsia="Calibri" w:hAnsi="Calibri" w:cs="Calibri"/>
          <w:sz w:val="24"/>
          <w:szCs w:val="24"/>
        </w:rPr>
        <w:t xml:space="preserve">la herramienta </w:t>
      </w:r>
      <w:r w:rsidR="0526FABC" w:rsidRPr="21D6A7EA">
        <w:rPr>
          <w:rFonts w:ascii="Calibri" w:eastAsia="Calibri" w:hAnsi="Calibri" w:cs="Calibri"/>
          <w:sz w:val="24"/>
          <w:szCs w:val="24"/>
        </w:rPr>
        <w:t xml:space="preserve">de referencia </w:t>
      </w:r>
      <w:r w:rsidR="00F11EBF" w:rsidRPr="21D6A7EA">
        <w:rPr>
          <w:rFonts w:ascii="Calibri" w:eastAsia="Calibri" w:hAnsi="Calibri" w:cs="Calibri"/>
          <w:sz w:val="24"/>
          <w:szCs w:val="24"/>
        </w:rPr>
        <w:t xml:space="preserve">para demostrar que un servicio de diagnóstico es </w:t>
      </w:r>
      <w:r w:rsidR="7791DED3" w:rsidRPr="21D6A7EA">
        <w:rPr>
          <w:rFonts w:ascii="Calibri" w:eastAsia="Calibri" w:hAnsi="Calibri" w:cs="Calibri"/>
          <w:sz w:val="24"/>
          <w:szCs w:val="24"/>
        </w:rPr>
        <w:t xml:space="preserve">técnicamente </w:t>
      </w:r>
      <w:r w:rsidR="00F11EBF" w:rsidRPr="21D6A7EA">
        <w:rPr>
          <w:rFonts w:ascii="Calibri" w:eastAsia="Calibri" w:hAnsi="Calibri" w:cs="Calibri"/>
          <w:sz w:val="24"/>
          <w:szCs w:val="24"/>
        </w:rPr>
        <w:t xml:space="preserve">competente y opera de acuerdo con </w:t>
      </w:r>
      <w:r w:rsidR="34C67765" w:rsidRPr="21D6A7EA">
        <w:rPr>
          <w:rFonts w:ascii="Calibri" w:eastAsia="Calibri" w:hAnsi="Calibri" w:cs="Calibri"/>
          <w:sz w:val="24"/>
          <w:szCs w:val="24"/>
        </w:rPr>
        <w:t xml:space="preserve">los </w:t>
      </w:r>
      <w:r w:rsidR="00AF3997" w:rsidRPr="21D6A7EA">
        <w:rPr>
          <w:rFonts w:ascii="Calibri" w:eastAsia="Calibri" w:hAnsi="Calibri" w:cs="Calibri"/>
          <w:sz w:val="24"/>
          <w:szCs w:val="24"/>
        </w:rPr>
        <w:t>estándares internacionalmente</w:t>
      </w:r>
      <w:r w:rsidR="34C67765" w:rsidRPr="21D6A7EA">
        <w:rPr>
          <w:rFonts w:ascii="Calibri" w:eastAsia="Calibri" w:hAnsi="Calibri" w:cs="Calibri"/>
          <w:sz w:val="24"/>
          <w:szCs w:val="24"/>
        </w:rPr>
        <w:t xml:space="preserve"> reconocidos establecidos en </w:t>
      </w:r>
      <w:proofErr w:type="gramStart"/>
      <w:r w:rsidR="34C67765" w:rsidRPr="21D6A7EA">
        <w:rPr>
          <w:rFonts w:ascii="Calibri" w:eastAsia="Calibri" w:hAnsi="Calibri" w:cs="Calibri"/>
          <w:sz w:val="24"/>
          <w:szCs w:val="24"/>
        </w:rPr>
        <w:t xml:space="preserve">la </w:t>
      </w:r>
      <w:r w:rsidR="00F11EBF" w:rsidRPr="21D6A7EA">
        <w:rPr>
          <w:rFonts w:ascii="Calibri" w:eastAsia="Calibri" w:hAnsi="Calibri" w:cs="Calibri"/>
          <w:sz w:val="24"/>
          <w:szCs w:val="24"/>
        </w:rPr>
        <w:t xml:space="preserve"> norma</w:t>
      </w:r>
      <w:proofErr w:type="gramEnd"/>
      <w:r w:rsidR="00F11EBF" w:rsidRPr="21D6A7EA">
        <w:rPr>
          <w:rFonts w:ascii="Calibri" w:eastAsia="Calibri" w:hAnsi="Calibri" w:cs="Calibri"/>
          <w:sz w:val="24"/>
          <w:szCs w:val="24"/>
        </w:rPr>
        <w:t xml:space="preserve"> </w:t>
      </w:r>
      <w:r w:rsidR="4EC8B951" w:rsidRPr="21D6A7EA">
        <w:rPr>
          <w:rFonts w:ascii="Calibri" w:eastAsia="Calibri" w:hAnsi="Calibri" w:cs="Calibri"/>
          <w:sz w:val="24"/>
          <w:szCs w:val="24"/>
        </w:rPr>
        <w:t xml:space="preserve">internacional </w:t>
      </w:r>
      <w:r w:rsidR="00F11EBF" w:rsidRPr="21D6A7EA">
        <w:rPr>
          <w:rFonts w:ascii="Calibri" w:eastAsia="Calibri" w:hAnsi="Calibri" w:cs="Calibri"/>
          <w:sz w:val="24"/>
          <w:szCs w:val="24"/>
        </w:rPr>
        <w:t>UNE-EN ISO 15189</w:t>
      </w:r>
      <w:r w:rsidR="00E8595C">
        <w:rPr>
          <w:rFonts w:ascii="Calibri" w:eastAsia="Calibri" w:hAnsi="Calibri" w:cs="Calibri"/>
          <w:sz w:val="24"/>
          <w:szCs w:val="24"/>
        </w:rPr>
        <w:t>.</w:t>
      </w:r>
    </w:p>
    <w:p w14:paraId="00000007" w14:textId="453F5835" w:rsidR="008B14F4" w:rsidRDefault="00F11EBF" w:rsidP="00AF3997">
      <w:pPr>
        <w:spacing w:after="100" w:afterAutospacing="1"/>
        <w:jc w:val="both"/>
        <w:rPr>
          <w:rFonts w:ascii="Calibri" w:eastAsia="Calibri" w:hAnsi="Calibri" w:cs="Calibri"/>
          <w:sz w:val="24"/>
          <w:szCs w:val="24"/>
        </w:rPr>
      </w:pPr>
      <w:r w:rsidRPr="21D6A7EA">
        <w:rPr>
          <w:rFonts w:ascii="Calibri" w:eastAsia="Calibri" w:hAnsi="Calibri" w:cs="Calibri"/>
          <w:sz w:val="24"/>
          <w:szCs w:val="24"/>
        </w:rPr>
        <w:t xml:space="preserve">Esta norma contempla el control de todos los procesos clave de manera integral, esto es, preanalíticos, analíticos y </w:t>
      </w:r>
      <w:proofErr w:type="spellStart"/>
      <w:r w:rsidRPr="21D6A7EA">
        <w:rPr>
          <w:rFonts w:ascii="Calibri" w:eastAsia="Calibri" w:hAnsi="Calibri" w:cs="Calibri"/>
          <w:sz w:val="24"/>
          <w:szCs w:val="24"/>
        </w:rPr>
        <w:t>postanalíticos</w:t>
      </w:r>
      <w:proofErr w:type="spellEnd"/>
      <w:r w:rsidRPr="21D6A7EA">
        <w:rPr>
          <w:rFonts w:ascii="Calibri" w:eastAsia="Calibri" w:hAnsi="Calibri" w:cs="Calibri"/>
          <w:sz w:val="24"/>
          <w:szCs w:val="24"/>
        </w:rPr>
        <w:t>, desde que se realiza la petición hasta que se emite el informe y establece requisitos técnicos y de gestión, por lo que aborda desde recursos, personal,</w:t>
      </w:r>
      <w:r w:rsidR="0011200F">
        <w:rPr>
          <w:rFonts w:ascii="Calibri" w:eastAsia="Calibri" w:hAnsi="Calibri" w:cs="Calibri"/>
          <w:sz w:val="24"/>
          <w:szCs w:val="24"/>
        </w:rPr>
        <w:t xml:space="preserve"> </w:t>
      </w:r>
      <w:r w:rsidRPr="21D6A7EA">
        <w:rPr>
          <w:rFonts w:ascii="Calibri" w:eastAsia="Calibri" w:hAnsi="Calibri" w:cs="Calibri"/>
          <w:sz w:val="24"/>
          <w:szCs w:val="24"/>
        </w:rPr>
        <w:t>instalaciones o equipos hasta procedimientos, sistemas de la información, aseguramiento de la calidad y emisión de informes. En la actualidad, la UNE-EN ISO 15189 se ha convertido en la norma de referencia a nivel global para los servicios diagnósticos.</w:t>
      </w:r>
    </w:p>
    <w:p w14:paraId="16199DDE" w14:textId="6FE3E025" w:rsidR="008B14F4" w:rsidRDefault="00605F28" w:rsidP="00AF3997">
      <w:pPr>
        <w:jc w:val="both"/>
        <w:rPr>
          <w:rFonts w:ascii="Calibri" w:eastAsia="Calibri" w:hAnsi="Calibri" w:cs="Calibri"/>
          <w:sz w:val="24"/>
          <w:szCs w:val="24"/>
        </w:rPr>
      </w:pPr>
      <w:r>
        <w:rPr>
          <w:rFonts w:ascii="Calibri" w:eastAsia="Calibri" w:hAnsi="Calibri" w:cs="Calibri"/>
          <w:sz w:val="24"/>
          <w:szCs w:val="24"/>
        </w:rPr>
        <w:t>De este modo, c</w:t>
      </w:r>
      <w:r w:rsidR="6427773C" w:rsidRPr="21D6A7EA">
        <w:rPr>
          <w:rFonts w:ascii="Calibri" w:eastAsia="Calibri" w:hAnsi="Calibri" w:cs="Calibri"/>
          <w:sz w:val="24"/>
          <w:szCs w:val="24"/>
        </w:rPr>
        <w:t xml:space="preserve">omo resultado de </w:t>
      </w:r>
      <w:r w:rsidR="62BFBA77" w:rsidRPr="21D6A7EA">
        <w:rPr>
          <w:rFonts w:ascii="Calibri" w:eastAsia="Calibri" w:hAnsi="Calibri" w:cs="Calibri"/>
          <w:sz w:val="24"/>
          <w:szCs w:val="24"/>
        </w:rPr>
        <w:t xml:space="preserve">la </w:t>
      </w:r>
      <w:r w:rsidR="6427773C" w:rsidRPr="21D6A7EA">
        <w:rPr>
          <w:rFonts w:ascii="Calibri" w:eastAsia="Calibri" w:hAnsi="Calibri" w:cs="Calibri"/>
          <w:sz w:val="24"/>
          <w:szCs w:val="24"/>
        </w:rPr>
        <w:t>acreditación:</w:t>
      </w:r>
    </w:p>
    <w:p w14:paraId="67AB5011" w14:textId="56D34A8B" w:rsidR="008B14F4" w:rsidRDefault="008B14F4" w:rsidP="21D6A7EA">
      <w:pPr>
        <w:jc w:val="both"/>
        <w:rPr>
          <w:rFonts w:ascii="Calibri" w:eastAsia="Calibri" w:hAnsi="Calibri" w:cs="Calibri"/>
          <w:sz w:val="24"/>
          <w:szCs w:val="24"/>
        </w:rPr>
      </w:pPr>
    </w:p>
    <w:p w14:paraId="777471BF" w14:textId="5B35881B" w:rsidR="008B14F4" w:rsidRDefault="6427773C" w:rsidP="21D6A7EA">
      <w:pPr>
        <w:jc w:val="both"/>
        <w:rPr>
          <w:rFonts w:ascii="Calibri" w:eastAsia="Calibri" w:hAnsi="Calibri" w:cs="Calibri"/>
          <w:sz w:val="24"/>
          <w:szCs w:val="24"/>
        </w:rPr>
      </w:pPr>
      <w:r w:rsidRPr="00AF3997">
        <w:rPr>
          <w:rFonts w:ascii="Calibri" w:eastAsia="Calibri" w:hAnsi="Calibri" w:cs="Calibri"/>
          <w:b/>
          <w:bCs/>
          <w:sz w:val="24"/>
          <w:szCs w:val="24"/>
        </w:rPr>
        <w:t>Se incrementa la fiabilidad de los resultados</w:t>
      </w:r>
      <w:r w:rsidR="5A108011" w:rsidRPr="21D6A7EA">
        <w:rPr>
          <w:rFonts w:ascii="Calibri" w:eastAsia="Calibri" w:hAnsi="Calibri" w:cs="Calibri"/>
          <w:sz w:val="24"/>
          <w:szCs w:val="24"/>
        </w:rPr>
        <w:t>, ya que los requisitos de la norma ISO 15189 y el riguroso proceso de evaluación obliga a la organización a establecer criterios claros, basados en datos objetivos y en las evidencias científicas disponibles para todos los procesos clave y a realizar un seguimiento continuo de los mismos (como, por ejemplo, el control sistemático de la calidad de las muestras, cumplimiento de los objetivos de calidad analítica para todas las pruebas, criterios y seguimiento para el contenido de los informes, etc.).</w:t>
      </w:r>
    </w:p>
    <w:p w14:paraId="45CA4B1E" w14:textId="77777777" w:rsidR="008B14F4" w:rsidRDefault="008B14F4" w:rsidP="21D6A7EA">
      <w:pPr>
        <w:jc w:val="both"/>
        <w:rPr>
          <w:rFonts w:ascii="Calibri" w:eastAsia="Calibri" w:hAnsi="Calibri" w:cs="Calibri"/>
          <w:sz w:val="24"/>
          <w:szCs w:val="24"/>
        </w:rPr>
      </w:pPr>
    </w:p>
    <w:p w14:paraId="4D52AD11" w14:textId="1D2C15EE" w:rsidR="008B14F4" w:rsidRDefault="314E8AED" w:rsidP="21D6A7EA">
      <w:pPr>
        <w:jc w:val="both"/>
        <w:rPr>
          <w:rFonts w:ascii="Calibri" w:eastAsia="Calibri" w:hAnsi="Calibri" w:cs="Calibri"/>
          <w:sz w:val="24"/>
          <w:szCs w:val="24"/>
        </w:rPr>
      </w:pPr>
      <w:r w:rsidRPr="00AF3997">
        <w:rPr>
          <w:rFonts w:ascii="Calibri" w:eastAsia="Calibri" w:hAnsi="Calibri" w:cs="Calibri"/>
          <w:b/>
          <w:bCs/>
          <w:sz w:val="24"/>
          <w:szCs w:val="24"/>
        </w:rPr>
        <w:t xml:space="preserve">Se logra </w:t>
      </w:r>
      <w:r w:rsidR="5A108011" w:rsidRPr="00AF3997">
        <w:rPr>
          <w:rFonts w:ascii="Calibri" w:eastAsia="Calibri" w:hAnsi="Calibri" w:cs="Calibri"/>
          <w:b/>
          <w:bCs/>
          <w:sz w:val="24"/>
          <w:szCs w:val="24"/>
        </w:rPr>
        <w:t>una mayor</w:t>
      </w:r>
      <w:r w:rsidR="5A108011" w:rsidRPr="21D6A7EA">
        <w:rPr>
          <w:rFonts w:ascii="Calibri" w:eastAsia="Calibri" w:hAnsi="Calibri" w:cs="Calibri"/>
          <w:sz w:val="24"/>
          <w:szCs w:val="24"/>
        </w:rPr>
        <w:t xml:space="preserve"> </w:t>
      </w:r>
      <w:r w:rsidR="5A108011" w:rsidRPr="21D6A7EA">
        <w:rPr>
          <w:rFonts w:ascii="Calibri" w:eastAsia="Calibri" w:hAnsi="Calibri" w:cs="Calibri"/>
          <w:b/>
          <w:bCs/>
          <w:sz w:val="24"/>
          <w:szCs w:val="24"/>
        </w:rPr>
        <w:t>seguridad para el paciente</w:t>
      </w:r>
      <w:r w:rsidR="5A108011" w:rsidRPr="21D6A7EA">
        <w:rPr>
          <w:rFonts w:ascii="Calibri" w:eastAsia="Calibri" w:hAnsi="Calibri" w:cs="Calibri"/>
          <w:sz w:val="24"/>
          <w:szCs w:val="24"/>
        </w:rPr>
        <w:t>. El control y seguimiento continuo de todos los procesos minimiza los riesgos derivados de resultados o información errónea en los informes, lo que directamente redunda en el principal beneficiario del uso de servicios diagnósticos acreditados, el paciente, quien recibe de esta manera una asistencia sanitaria con el alto nivel de calidad que demanda.</w:t>
      </w:r>
    </w:p>
    <w:p w14:paraId="76FC63F1" w14:textId="77777777" w:rsidR="008B14F4" w:rsidRDefault="008B14F4" w:rsidP="21D6A7EA">
      <w:pPr>
        <w:jc w:val="both"/>
        <w:rPr>
          <w:rFonts w:ascii="Calibri" w:eastAsia="Calibri" w:hAnsi="Calibri" w:cs="Calibri"/>
          <w:sz w:val="24"/>
          <w:szCs w:val="24"/>
        </w:rPr>
      </w:pPr>
    </w:p>
    <w:p w14:paraId="30C83724" w14:textId="05B71693" w:rsidR="008B14F4" w:rsidRDefault="201626D1" w:rsidP="21D6A7EA">
      <w:pPr>
        <w:jc w:val="both"/>
        <w:rPr>
          <w:rFonts w:ascii="Calibri" w:eastAsia="Calibri" w:hAnsi="Calibri" w:cs="Calibri"/>
          <w:sz w:val="24"/>
          <w:szCs w:val="24"/>
        </w:rPr>
      </w:pPr>
      <w:r w:rsidRPr="00AF3997">
        <w:rPr>
          <w:rFonts w:ascii="Calibri" w:eastAsia="Calibri" w:hAnsi="Calibri" w:cs="Calibri"/>
          <w:b/>
          <w:bCs/>
          <w:sz w:val="24"/>
          <w:szCs w:val="24"/>
        </w:rPr>
        <w:lastRenderedPageBreak/>
        <w:t>Se incrementa la confianza</w:t>
      </w:r>
      <w:r w:rsidR="001D7055">
        <w:rPr>
          <w:rFonts w:ascii="Calibri" w:eastAsia="Calibri" w:hAnsi="Calibri" w:cs="Calibri"/>
          <w:b/>
          <w:bCs/>
          <w:sz w:val="24"/>
          <w:szCs w:val="24"/>
        </w:rPr>
        <w:t xml:space="preserve"> y la protección a los profesionales </w:t>
      </w:r>
      <w:r w:rsidR="00AB0332">
        <w:rPr>
          <w:rFonts w:ascii="Calibri" w:eastAsia="Calibri" w:hAnsi="Calibri" w:cs="Calibri"/>
          <w:b/>
          <w:bCs/>
          <w:sz w:val="24"/>
          <w:szCs w:val="24"/>
        </w:rPr>
        <w:t>sanitarios</w:t>
      </w:r>
      <w:r w:rsidR="4E456352" w:rsidRPr="21D6A7EA">
        <w:rPr>
          <w:rFonts w:ascii="Calibri" w:eastAsia="Calibri" w:hAnsi="Calibri" w:cs="Calibri"/>
          <w:sz w:val="24"/>
          <w:szCs w:val="24"/>
        </w:rPr>
        <w:t xml:space="preserve"> </w:t>
      </w:r>
      <w:r w:rsidR="1B031A99" w:rsidRPr="21D6A7EA">
        <w:rPr>
          <w:rFonts w:ascii="Calibri" w:eastAsia="Calibri" w:hAnsi="Calibri" w:cs="Calibri"/>
          <w:sz w:val="24"/>
          <w:szCs w:val="24"/>
        </w:rPr>
        <w:t>al</w:t>
      </w:r>
      <w:r w:rsidR="5A108011" w:rsidRPr="21D6A7EA">
        <w:rPr>
          <w:rFonts w:ascii="Calibri" w:eastAsia="Calibri" w:hAnsi="Calibri" w:cs="Calibri"/>
          <w:sz w:val="24"/>
          <w:szCs w:val="24"/>
        </w:rPr>
        <w:t>, aporta</w:t>
      </w:r>
      <w:r w:rsidR="4A3EAEA3" w:rsidRPr="21D6A7EA">
        <w:rPr>
          <w:rFonts w:ascii="Calibri" w:eastAsia="Calibri" w:hAnsi="Calibri" w:cs="Calibri"/>
          <w:sz w:val="24"/>
          <w:szCs w:val="24"/>
        </w:rPr>
        <w:t>r</w:t>
      </w:r>
      <w:r w:rsidR="5A108011" w:rsidRPr="21D6A7EA">
        <w:rPr>
          <w:rFonts w:ascii="Calibri" w:eastAsia="Calibri" w:hAnsi="Calibri" w:cs="Calibri"/>
          <w:sz w:val="24"/>
          <w:szCs w:val="24"/>
        </w:rPr>
        <w:t xml:space="preserve"> al médico y a la organización a la que pertenece (hospital, aseguradora, etc.) la seguridad de poder demostrar que ha seleccionado los servicios diagnósticos con criterios de competencia y fiabilidad técnica a través del único medio internacionalmente aceptado para ello, la acreditación. </w:t>
      </w:r>
    </w:p>
    <w:p w14:paraId="583EAB54" w14:textId="116361C2" w:rsidR="008B14F4" w:rsidRDefault="008B14F4" w:rsidP="21D6A7EA">
      <w:pPr>
        <w:jc w:val="both"/>
        <w:rPr>
          <w:rFonts w:ascii="Calibri" w:eastAsia="Calibri" w:hAnsi="Calibri" w:cs="Calibri"/>
          <w:sz w:val="24"/>
          <w:szCs w:val="24"/>
        </w:rPr>
      </w:pPr>
    </w:p>
    <w:p w14:paraId="40AD516B" w14:textId="687B62ED" w:rsidR="008B14F4" w:rsidRDefault="0D6695C7" w:rsidP="21D6A7EA">
      <w:pPr>
        <w:jc w:val="both"/>
        <w:rPr>
          <w:rFonts w:ascii="Calibri" w:eastAsia="Calibri" w:hAnsi="Calibri" w:cs="Calibri"/>
          <w:sz w:val="24"/>
          <w:szCs w:val="24"/>
        </w:rPr>
      </w:pPr>
      <w:r w:rsidRPr="21D6A7EA">
        <w:rPr>
          <w:rFonts w:ascii="Calibri" w:eastAsia="Calibri" w:hAnsi="Calibri" w:cs="Calibri"/>
          <w:sz w:val="24"/>
          <w:szCs w:val="24"/>
        </w:rPr>
        <w:t>A</w:t>
      </w:r>
      <w:r w:rsidR="5A108011" w:rsidRPr="00AF3997">
        <w:rPr>
          <w:rFonts w:ascii="Calibri" w:eastAsia="Calibri" w:hAnsi="Calibri" w:cs="Calibri"/>
          <w:b/>
          <w:bCs/>
          <w:sz w:val="24"/>
          <w:szCs w:val="24"/>
        </w:rPr>
        <w:t>porta también valor en términos económicos,</w:t>
      </w:r>
      <w:r w:rsidR="5A108011" w:rsidRPr="21D6A7EA">
        <w:rPr>
          <w:rFonts w:ascii="Calibri" w:eastAsia="Calibri" w:hAnsi="Calibri" w:cs="Calibri"/>
          <w:sz w:val="24"/>
          <w:szCs w:val="24"/>
        </w:rPr>
        <w:t xml:space="preserve"> ya que contribuyen </w:t>
      </w:r>
      <w:r w:rsidR="1A71A5E6" w:rsidRPr="21D6A7EA">
        <w:rPr>
          <w:rFonts w:ascii="Calibri" w:eastAsia="Calibri" w:hAnsi="Calibri" w:cs="Calibri"/>
          <w:sz w:val="24"/>
          <w:szCs w:val="24"/>
        </w:rPr>
        <w:t>a un</w:t>
      </w:r>
      <w:r w:rsidR="00605F28">
        <w:rPr>
          <w:rFonts w:ascii="Calibri" w:eastAsia="Calibri" w:hAnsi="Calibri" w:cs="Calibri"/>
          <w:sz w:val="24"/>
          <w:szCs w:val="24"/>
        </w:rPr>
        <w:t xml:space="preserve"> </w:t>
      </w:r>
      <w:r w:rsidR="54C7500A" w:rsidRPr="21D6A7EA">
        <w:rPr>
          <w:rFonts w:ascii="Calibri" w:eastAsia="Calibri" w:hAnsi="Calibri" w:cs="Calibri"/>
          <w:sz w:val="24"/>
          <w:szCs w:val="24"/>
        </w:rPr>
        <w:t>mejor aprovechamiento de los recursos humanos y materiales</w:t>
      </w:r>
      <w:r w:rsidR="4A64C244" w:rsidRPr="21D6A7EA">
        <w:rPr>
          <w:rFonts w:ascii="Calibri" w:eastAsia="Calibri" w:hAnsi="Calibri" w:cs="Calibri"/>
          <w:sz w:val="24"/>
          <w:szCs w:val="24"/>
        </w:rPr>
        <w:t>.</w:t>
      </w:r>
      <w:r w:rsidR="54C7500A" w:rsidRPr="21D6A7EA">
        <w:rPr>
          <w:rFonts w:ascii="Calibri" w:eastAsia="Calibri" w:hAnsi="Calibri" w:cs="Calibri"/>
          <w:sz w:val="24"/>
          <w:szCs w:val="24"/>
        </w:rPr>
        <w:t xml:space="preserve"> </w:t>
      </w:r>
      <w:r w:rsidR="5A108011" w:rsidRPr="21D6A7EA">
        <w:rPr>
          <w:rFonts w:ascii="Calibri" w:eastAsia="Calibri" w:hAnsi="Calibri" w:cs="Calibri"/>
          <w:sz w:val="24"/>
          <w:szCs w:val="24"/>
        </w:rPr>
        <w:t>Asimismo, los usuarios de estos servicios podrán disponer de información contrastada e independiente sobre la competencia técnica de los laboratorios, evitando así invertir recursos y tiempo en su evaluación y contando con la seguridad de utilizar servicios fiables.</w:t>
      </w:r>
    </w:p>
    <w:p w14:paraId="3B0DC915" w14:textId="77777777" w:rsidR="008B14F4" w:rsidRDefault="008B14F4" w:rsidP="21D6A7EA">
      <w:pPr>
        <w:jc w:val="both"/>
        <w:rPr>
          <w:rFonts w:ascii="Calibri" w:eastAsia="Calibri" w:hAnsi="Calibri" w:cs="Calibri"/>
          <w:sz w:val="24"/>
          <w:szCs w:val="24"/>
        </w:rPr>
      </w:pPr>
    </w:p>
    <w:p w14:paraId="4B21747D" w14:textId="5C9A1518" w:rsidR="008B14F4" w:rsidRDefault="5A108011" w:rsidP="21D6A7EA">
      <w:pPr>
        <w:jc w:val="both"/>
        <w:rPr>
          <w:rFonts w:ascii="Calibri" w:eastAsia="Calibri" w:hAnsi="Calibri" w:cs="Calibri"/>
          <w:sz w:val="24"/>
          <w:szCs w:val="24"/>
        </w:rPr>
      </w:pPr>
      <w:r w:rsidRPr="21D6A7EA">
        <w:rPr>
          <w:rFonts w:ascii="Calibri" w:eastAsia="Calibri" w:hAnsi="Calibri" w:cs="Calibri"/>
          <w:sz w:val="24"/>
          <w:szCs w:val="24"/>
        </w:rPr>
        <w:t>Finalmente, los servicios acreditados contarán con un</w:t>
      </w:r>
      <w:r w:rsidRPr="21D6A7EA">
        <w:rPr>
          <w:rFonts w:ascii="Calibri" w:eastAsia="Calibri" w:hAnsi="Calibri" w:cs="Calibri"/>
          <w:b/>
          <w:bCs/>
          <w:sz w:val="24"/>
          <w:szCs w:val="24"/>
        </w:rPr>
        <w:t xml:space="preserve"> reconocimiento internacional </w:t>
      </w:r>
      <w:r w:rsidRPr="21D6A7EA">
        <w:rPr>
          <w:rFonts w:ascii="Calibri" w:eastAsia="Calibri" w:hAnsi="Calibri" w:cs="Calibri"/>
          <w:sz w:val="24"/>
          <w:szCs w:val="24"/>
        </w:rPr>
        <w:t>ya que</w:t>
      </w:r>
      <w:r w:rsidRPr="21D6A7EA">
        <w:rPr>
          <w:rFonts w:ascii="Calibri" w:eastAsia="Calibri" w:hAnsi="Calibri" w:cs="Calibri"/>
          <w:b/>
          <w:bCs/>
          <w:sz w:val="24"/>
          <w:szCs w:val="24"/>
        </w:rPr>
        <w:t xml:space="preserve"> </w:t>
      </w:r>
      <w:r w:rsidRPr="21D6A7EA">
        <w:rPr>
          <w:rFonts w:ascii="Calibri" w:eastAsia="Calibri" w:hAnsi="Calibri" w:cs="Calibri"/>
          <w:sz w:val="24"/>
          <w:szCs w:val="24"/>
        </w:rPr>
        <w:t>la acreditación es reconocida por los países de nuestro entorno como la principal herramienta para garantizar la fiabilidad de los resultados de los laboratorios y medios diagnósticos, proporcionando el reconocimiento de los informes emitidos en el ámbito de los acuerdos internacionales firmados por ENAC.</w:t>
      </w:r>
    </w:p>
    <w:p w14:paraId="0000000C" w14:textId="23096CA0" w:rsidR="008B14F4" w:rsidRDefault="008B14F4" w:rsidP="21D6A7EA">
      <w:pPr>
        <w:shd w:val="clear" w:color="auto" w:fill="FFFFFF" w:themeFill="background1"/>
        <w:rPr>
          <w:b/>
          <w:bCs/>
        </w:rPr>
      </w:pPr>
    </w:p>
    <w:p w14:paraId="0000000E" w14:textId="77777777" w:rsidR="008B14F4" w:rsidRDefault="008B14F4">
      <w:pPr>
        <w:shd w:val="clear" w:color="auto" w:fill="FFFFFF"/>
        <w:rPr>
          <w:color w:val="222222"/>
        </w:rPr>
      </w:pPr>
    </w:p>
    <w:p w14:paraId="00000011" w14:textId="77777777" w:rsidR="008B14F4" w:rsidRDefault="008B14F4">
      <w:pPr>
        <w:spacing w:after="160" w:line="259" w:lineRule="auto"/>
        <w:jc w:val="both"/>
        <w:rPr>
          <w:rFonts w:ascii="Calibri" w:eastAsia="Calibri" w:hAnsi="Calibri" w:cs="Calibri"/>
          <w:sz w:val="24"/>
          <w:szCs w:val="24"/>
        </w:rPr>
      </w:pPr>
    </w:p>
    <w:p w14:paraId="00000012" w14:textId="77777777" w:rsidR="008B14F4" w:rsidRDefault="008B14F4">
      <w:pPr>
        <w:spacing w:after="160" w:line="259" w:lineRule="auto"/>
        <w:jc w:val="both"/>
        <w:rPr>
          <w:rFonts w:ascii="Calibri" w:eastAsia="Calibri" w:hAnsi="Calibri" w:cs="Calibri"/>
          <w:sz w:val="24"/>
          <w:szCs w:val="24"/>
        </w:rPr>
      </w:pPr>
    </w:p>
    <w:p w14:paraId="00000013" w14:textId="77777777" w:rsidR="008B14F4" w:rsidRDefault="008B14F4">
      <w:pPr>
        <w:jc w:val="both"/>
        <w:rPr>
          <w:rFonts w:ascii="Calibri" w:eastAsia="Calibri" w:hAnsi="Calibri" w:cs="Calibri"/>
          <w:sz w:val="24"/>
          <w:szCs w:val="24"/>
        </w:rPr>
      </w:pPr>
    </w:p>
    <w:p w14:paraId="00000014" w14:textId="77777777" w:rsidR="008B14F4" w:rsidRDefault="008B14F4">
      <w:pPr>
        <w:jc w:val="both"/>
        <w:rPr>
          <w:rFonts w:ascii="Calibri" w:eastAsia="Calibri" w:hAnsi="Calibri" w:cs="Calibri"/>
          <w:sz w:val="24"/>
          <w:szCs w:val="24"/>
        </w:rPr>
      </w:pPr>
    </w:p>
    <w:p w14:paraId="0000001C" w14:textId="77777777" w:rsidR="008B14F4" w:rsidRDefault="008B14F4">
      <w:pPr>
        <w:jc w:val="both"/>
        <w:rPr>
          <w:rFonts w:ascii="Calibri" w:eastAsia="Calibri" w:hAnsi="Calibri" w:cs="Calibri"/>
          <w:sz w:val="24"/>
          <w:szCs w:val="24"/>
        </w:rPr>
      </w:pPr>
    </w:p>
    <w:p w14:paraId="0000001D" w14:textId="77777777" w:rsidR="008B14F4" w:rsidRDefault="008B14F4">
      <w:pPr>
        <w:jc w:val="both"/>
        <w:rPr>
          <w:rFonts w:ascii="Calibri" w:eastAsia="Calibri" w:hAnsi="Calibri" w:cs="Calibri"/>
          <w:sz w:val="24"/>
          <w:szCs w:val="24"/>
        </w:rPr>
      </w:pPr>
    </w:p>
    <w:p w14:paraId="0000001E" w14:textId="77777777" w:rsidR="008B14F4" w:rsidRDefault="008B14F4">
      <w:pPr>
        <w:jc w:val="both"/>
        <w:rPr>
          <w:rFonts w:ascii="Calibri" w:eastAsia="Calibri" w:hAnsi="Calibri" w:cs="Calibri"/>
          <w:sz w:val="24"/>
          <w:szCs w:val="24"/>
        </w:rPr>
      </w:pPr>
    </w:p>
    <w:p w14:paraId="0000001F" w14:textId="77777777" w:rsidR="008B14F4" w:rsidRDefault="008B14F4">
      <w:pPr>
        <w:shd w:val="clear" w:color="auto" w:fill="FFFFFF"/>
        <w:rPr>
          <w:color w:val="222222"/>
        </w:rPr>
      </w:pPr>
    </w:p>
    <w:p w14:paraId="00000020" w14:textId="77777777" w:rsidR="008B14F4" w:rsidRDefault="00F11EBF">
      <w:pPr>
        <w:shd w:val="clear" w:color="auto" w:fill="FFFFFF"/>
        <w:rPr>
          <w:color w:val="1F497D"/>
        </w:rPr>
      </w:pPr>
      <w:r>
        <w:rPr>
          <w:color w:val="1F497D"/>
        </w:rPr>
        <w:t xml:space="preserve"> </w:t>
      </w:r>
    </w:p>
    <w:p w14:paraId="00000021" w14:textId="77777777" w:rsidR="008B14F4" w:rsidRDefault="008B14F4" w:rsidP="00AF3997">
      <w:pPr>
        <w:spacing w:after="120"/>
      </w:pPr>
    </w:p>
    <w:sectPr w:rsidR="008B14F4">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9583" w14:textId="77777777" w:rsidR="00686C4C" w:rsidRDefault="00686C4C">
      <w:pPr>
        <w:spacing w:line="240" w:lineRule="auto"/>
      </w:pPr>
      <w:r>
        <w:separator/>
      </w:r>
    </w:p>
  </w:endnote>
  <w:endnote w:type="continuationSeparator" w:id="0">
    <w:p w14:paraId="213CB434" w14:textId="77777777" w:rsidR="00686C4C" w:rsidRDefault="00686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20C3CEC7" w:rsidR="008B14F4" w:rsidRDefault="00F11EBF">
    <w:pPr>
      <w:jc w:val="right"/>
    </w:pPr>
    <w:r>
      <w:fldChar w:fldCharType="begin"/>
    </w:r>
    <w:r>
      <w:instrText>PAGE</w:instrText>
    </w:r>
    <w:r>
      <w:fldChar w:fldCharType="separate"/>
    </w:r>
    <w:r w:rsidR="00C25C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564F" w14:textId="77777777" w:rsidR="00686C4C" w:rsidRDefault="00686C4C">
      <w:pPr>
        <w:spacing w:line="240" w:lineRule="auto"/>
      </w:pPr>
      <w:r>
        <w:separator/>
      </w:r>
    </w:p>
  </w:footnote>
  <w:footnote w:type="continuationSeparator" w:id="0">
    <w:p w14:paraId="38723508" w14:textId="77777777" w:rsidR="00686C4C" w:rsidRDefault="00686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9F65" w14:textId="4ABBC9E3" w:rsidR="001F57A3" w:rsidRPr="007E5583" w:rsidRDefault="001F57A3" w:rsidP="001F57A3">
    <w:pPr>
      <w:jc w:val="both"/>
      <w:rPr>
        <w:rFonts w:ascii="Roboto" w:eastAsia="Roboto" w:hAnsi="Roboto" w:cs="Roboto"/>
        <w:b/>
        <w:bCs/>
        <w:color w:val="000000" w:themeColor="text1"/>
        <w:sz w:val="24"/>
        <w:szCs w:val="24"/>
      </w:rPr>
    </w:pPr>
  </w:p>
  <w:p w14:paraId="6EAEA7DA" w14:textId="213CE10F" w:rsidR="001F57A3" w:rsidRPr="007E5583" w:rsidRDefault="00AF3997" w:rsidP="001F57A3">
    <w:pPr>
      <w:jc w:val="both"/>
      <w:rPr>
        <w:rFonts w:eastAsia="Roboto"/>
        <w:b/>
        <w:bCs/>
        <w:color w:val="000000" w:themeColor="text1"/>
        <w:sz w:val="40"/>
        <w:szCs w:val="40"/>
      </w:rPr>
    </w:pPr>
    <w:r w:rsidRPr="007E5583">
      <w:rPr>
        <w:noProof/>
        <w:sz w:val="14"/>
        <w:szCs w:val="14"/>
      </w:rPr>
      <mc:AlternateContent>
        <mc:Choice Requires="wps">
          <w:drawing>
            <wp:anchor distT="0" distB="0" distL="114300" distR="114300" simplePos="0" relativeHeight="251659264" behindDoc="1" locked="0" layoutInCell="1" allowOverlap="1" wp14:anchorId="2FFDA15B" wp14:editId="74B79EE1">
              <wp:simplePos x="0" y="0"/>
              <wp:positionH relativeFrom="margin">
                <wp:posOffset>3987165</wp:posOffset>
              </wp:positionH>
              <wp:positionV relativeFrom="paragraph">
                <wp:posOffset>6985</wp:posOffset>
              </wp:positionV>
              <wp:extent cx="1733550" cy="444500"/>
              <wp:effectExtent l="0" t="0" r="0" b="0"/>
              <wp:wrapTight wrapText="bothSides">
                <wp:wrapPolygon edited="0">
                  <wp:start x="0" y="0"/>
                  <wp:lineTo x="0" y="20366"/>
                  <wp:lineTo x="21363" y="20366"/>
                  <wp:lineTo x="21363" y="0"/>
                  <wp:lineTo x="0" y="0"/>
                </wp:wrapPolygon>
              </wp:wrapTight>
              <wp:docPr id="1201871682" name="Rectángulo 1201871682"/>
              <wp:cNvGraphicFramePr/>
              <a:graphic xmlns:a="http://schemas.openxmlformats.org/drawingml/2006/main">
                <a:graphicData uri="http://schemas.microsoft.com/office/word/2010/wordprocessingShape">
                  <wps:wsp>
                    <wps:cNvSpPr/>
                    <wps:spPr>
                      <a:xfrm>
                        <a:off x="0" y="0"/>
                        <a:ext cx="1733550" cy="444500"/>
                      </a:xfrm>
                      <a:prstGeom prst="rect">
                        <a:avLst/>
                      </a:prstGeom>
                      <a:solidFill>
                        <a:schemeClr val="lt1"/>
                      </a:solidFill>
                      <a:ln>
                        <a:noFill/>
                      </a:ln>
                    </wps:spPr>
                    <wps:txbx>
                      <w:txbxContent>
                        <w:p w14:paraId="11C06582" w14:textId="77777777" w:rsidR="001F57A3" w:rsidRPr="007E5583" w:rsidRDefault="001F57A3" w:rsidP="001F57A3">
                          <w:pPr>
                            <w:spacing w:line="254" w:lineRule="auto"/>
                            <w:rPr>
                              <w:b/>
                              <w:bCs/>
                              <w:color w:val="000000"/>
                              <w:lang w:val="en-US"/>
                            </w:rPr>
                          </w:pPr>
                          <w:r w:rsidRPr="007E5583">
                            <w:rPr>
                              <w:b/>
                              <w:bCs/>
                              <w:color w:val="000000"/>
                              <w:lang w:val="en-US"/>
                            </w:rPr>
                            <w:t xml:space="preserve">LOGO DE LA ENTIDAD ACREDITADA </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2FFDA15B" id="Rectángulo 1201871682" o:spid="_x0000_s1026" style="position:absolute;left:0;text-align:left;margin-left:313.95pt;margin-top:.55pt;width:136.5pt;height: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7AlwEAAB8DAAAOAAAAZHJzL2Uyb0RvYy54bWysUk1vGyEQvVfqf0Dca9aJ3UYrr6OqUXqp&#10;2khJfgBmwYsEDGGwd/3vO2DXTttblAtfM/N4782sbifv2F4ntBA6Pp81nOmgoLdh2/Hnp/tPN5xh&#10;lqGXDoLu+EEjv11//LAaY6uvYADX68QIJGA7xo4POcdWCFSD9hJnEHWgoIHkZaZr2oo+yZHQvRNX&#10;TfNZjJD6mEBpRHq9Owb5uuIbo1X+ZQzqzFzHiVuua6rrpqxivZLtNsk4WHWiId/Awksb6NMz1J3M&#10;ku2S/Q/KW5UAweSZAi/AGKt01UBq5s0/ah4HGXXVQuZgPNuE7werfu4f40MiG8aILdKxqJhM8mUn&#10;fmyqZh3OZukpM0WP8y/X18sleaootlgslk11U1yqY8L8XYNn5dDxRM2oHsn9D8z0I6X+SSmfITjb&#10;31vn6qUMgP7mEttLap3L89Iqqvgry4WSG6BUHcPlRVyklFOeNtNJ3wb6w0NiI/W74/iyk0lzJoMa&#10;gEbiSC7A110GYyvBUn6sOaFSFyqL08SUNr++16zLXK9/AwAA//8DAFBLAwQUAAYACAAAACEAZIN/&#10;F94AAAAIAQAADwAAAGRycy9kb3ducmV2LnhtbEyPwU7DMBBE70j8g7VIXBC1E0VNE+JUgNQLHBAB&#10;CXFz420SEa+j2G3D37Oc4Dj7RrMz1XZxozjhHAZPGpKVAoHUejtQp+H9bXe7ARGiIWtGT6jhGwNs&#10;68uLypTWn+kVT03sBIdQKI2GPsaplDK0PToTVn5CYnbwszOR5dxJO5szh7tRpkqtpTMD8YfeTPjY&#10;Y/vVHJ2GTZ6Yz4+nBm+Kh+w5zXYvaWYPWl9fLfd3ICIu8c8Mv/W5OtTcae+PZIMYNazTvGArgwQE&#10;80Ip1nsNOR9kXcn/A+ofAAAA//8DAFBLAQItABQABgAIAAAAIQC2gziS/gAAAOEBAAATAAAAAAAA&#10;AAAAAAAAAAAAAABbQ29udGVudF9UeXBlc10ueG1sUEsBAi0AFAAGAAgAAAAhADj9If/WAAAAlAEA&#10;AAsAAAAAAAAAAAAAAAAALwEAAF9yZWxzLy5yZWxzUEsBAi0AFAAGAAgAAAAhAG/PXsCXAQAAHwMA&#10;AA4AAAAAAAAAAAAAAAAALgIAAGRycy9lMm9Eb2MueG1sUEsBAi0AFAAGAAgAAAAhAGSDfxfeAAAA&#10;CAEAAA8AAAAAAAAAAAAAAAAA8QMAAGRycy9kb3ducmV2LnhtbFBLBQYAAAAABAAEAPMAAAD8BAAA&#10;AAA=&#10;" fillcolor="white [3201]" stroked="f">
              <v:textbox>
                <w:txbxContent>
                  <w:p w14:paraId="11C06582" w14:textId="77777777" w:rsidR="001F57A3" w:rsidRPr="007E5583" w:rsidRDefault="001F57A3" w:rsidP="001F57A3">
                    <w:pPr>
                      <w:spacing w:line="254" w:lineRule="auto"/>
                      <w:rPr>
                        <w:b/>
                        <w:bCs/>
                        <w:color w:val="000000"/>
                        <w:lang w:val="en-US"/>
                      </w:rPr>
                    </w:pPr>
                    <w:r w:rsidRPr="007E5583">
                      <w:rPr>
                        <w:b/>
                        <w:bCs/>
                        <w:color w:val="000000"/>
                        <w:lang w:val="en-US"/>
                      </w:rPr>
                      <w:t xml:space="preserve">LOGO DE LA ENTIDAD ACREDITADA </w:t>
                    </w:r>
                  </w:p>
                </w:txbxContent>
              </v:textbox>
              <w10:wrap type="tight" anchorx="margin"/>
            </v:rect>
          </w:pict>
        </mc:Fallback>
      </mc:AlternateContent>
    </w:r>
    <w:r w:rsidR="001F57A3">
      <w:rPr>
        <w:rFonts w:eastAsia="Roboto"/>
        <w:b/>
        <w:bCs/>
        <w:color w:val="000000" w:themeColor="text1"/>
        <w:sz w:val="40"/>
        <w:szCs w:val="40"/>
      </w:rPr>
      <w:t>ARTÍCULO</w:t>
    </w:r>
  </w:p>
  <w:p w14:paraId="3D6A3EF2" w14:textId="77777777" w:rsidR="001F57A3" w:rsidRDefault="001F57A3" w:rsidP="001F57A3">
    <w:r>
      <w:rPr>
        <w:noProof/>
      </w:rPr>
      <mc:AlternateContent>
        <mc:Choice Requires="wps">
          <w:drawing>
            <wp:anchor distT="0" distB="0" distL="114300" distR="114300" simplePos="0" relativeHeight="251660288" behindDoc="0" locked="0" layoutInCell="1" allowOverlap="1" wp14:anchorId="6F115FE8" wp14:editId="08992FE3">
              <wp:simplePos x="0" y="0"/>
              <wp:positionH relativeFrom="column">
                <wp:posOffset>-6350</wp:posOffset>
              </wp:positionH>
              <wp:positionV relativeFrom="paragraph">
                <wp:posOffset>143510</wp:posOffset>
              </wp:positionV>
              <wp:extent cx="5657850" cy="6350"/>
              <wp:effectExtent l="19050" t="19050" r="19050" b="31750"/>
              <wp:wrapNone/>
              <wp:docPr id="1254296981" name="Conector recto 1254296981"/>
              <wp:cNvGraphicFramePr/>
              <a:graphic xmlns:a="http://schemas.openxmlformats.org/drawingml/2006/main">
                <a:graphicData uri="http://schemas.microsoft.com/office/word/2010/wordprocessingShape">
                  <wps:wsp>
                    <wps:cNvCnPr/>
                    <wps:spPr>
                      <a:xfrm flipV="1">
                        <a:off x="0" y="0"/>
                        <a:ext cx="5657850" cy="6350"/>
                      </a:xfrm>
                      <a:prstGeom prst="line">
                        <a:avLst/>
                      </a:prstGeom>
                      <a:ln w="38100">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5BBCC" id="Conector recto 125429698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11.3pt" to="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q41gEAAAMEAAAOAAAAZHJzL2Uyb0RvYy54bWysU8uOGyEQvEfKPyDu8Yx3ZccaebyHXW0u&#10;eazyumMeHhSgEbCe8d+nAXu8SS5RlAuCpru6qmi2d5M15ChD1OB6uly0lEjHQWh36Om3r49vNpTE&#10;xJxgBpzs6UlGerd7/Wo7+k7ewABGyEAQxMVu9D0dUvJd00Q+SMviArx0eKkgWJbwGA6NCGxEdGua&#10;m7ZdNyME4QNwGSNGH+ol3RV8pSRPn5SKMhHTU+SWyhrKus9rs9uy7hCYHzQ/02D/wMIy7bDpDPXA&#10;EiPPQf8BZTUPEEGlBQfbgFKay6IB1Szb39R8GZiXRQuaE/1sU/x/sPzj8d49BbRh9LGL/ilkFZMK&#10;liij/Xd806ILmZKp2HaabZNTIhyDq/Xq7WaF7nK8W9/iDuGaipLRfIjpnQRL8qanRrssinXs+D6m&#10;mnpJyWHjyNjT282ybUtaBKPFozYmX5bBkPcmkCPDJ90fKj3zbD+AqDGkgpUVd04vhF4gIT3jMHhV&#10;XXbpZGTl8FkqogWqqw1moNpD/FieOxiHmblEIcO56Mw8T/GV7LXonJvLZBnSvy2cs0tHcGkutNpB&#10;qH792jVNF6qq5l9UV61Z9h7EqcxAsQMnrbh1/hV5lF+eS/n17+5+AgAA//8DAFBLAwQUAAYACAAA&#10;ACEAmkfvVt4AAAAIAQAADwAAAGRycy9kb3ducmV2LnhtbEyPwU7DMBBE70j8g7VIXFDrNKAoTeNU&#10;VSWgEr1QOOToxNskaryOYrcNf9/lBMedGc2+ydeT7cUFR985UrCYRyCQamc6ahR8f73OUhA+aDK6&#10;d4QKftDDuri/y3Vm3JU+8XIIjeAS8plW0IYwZFL6ukWr/dwNSOwd3Wh14HNspBn1lcttL+MoSqTV&#10;HfGHVg+4bbE+Hc5WQUnd20e6l7vyRLivyL88vR9LpR4fps0KRMAp/IXhF5/RoWCmyp3JeNErmC14&#10;SlAQxwkI9tNlxELFwnMCssjl/wHFDQAA//8DAFBLAQItABQABgAIAAAAIQC2gziS/gAAAOEBAAAT&#10;AAAAAAAAAAAAAAAAAAAAAABbQ29udGVudF9UeXBlc10ueG1sUEsBAi0AFAAGAAgAAAAhADj9If/W&#10;AAAAlAEAAAsAAAAAAAAAAAAAAAAALwEAAF9yZWxzLy5yZWxzUEsBAi0AFAAGAAgAAAAhAEpPurjW&#10;AQAAAwQAAA4AAAAAAAAAAAAAAAAALgIAAGRycy9lMm9Eb2MueG1sUEsBAi0AFAAGAAgAAAAhAJpH&#10;71beAAAACAEAAA8AAAAAAAAAAAAAAAAAMAQAAGRycy9kb3ducmV2LnhtbFBLBQYAAAAABAAEAPMA&#10;AAA7BQAAAAA=&#10;" strokecolor="#d8d8d8 [2732]" strokeweight="3pt"/>
          </w:pict>
        </mc:Fallback>
      </mc:AlternateContent>
    </w:r>
  </w:p>
  <w:p w14:paraId="343ED0AA" w14:textId="77777777" w:rsidR="001F57A3" w:rsidRDefault="001F57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4F4"/>
    <w:rsid w:val="0002447D"/>
    <w:rsid w:val="00030BC5"/>
    <w:rsid w:val="000817ED"/>
    <w:rsid w:val="000842FF"/>
    <w:rsid w:val="0011200F"/>
    <w:rsid w:val="00114C58"/>
    <w:rsid w:val="00120C8E"/>
    <w:rsid w:val="00144865"/>
    <w:rsid w:val="00155DBA"/>
    <w:rsid w:val="0019021C"/>
    <w:rsid w:val="001A0D7F"/>
    <w:rsid w:val="001C7E64"/>
    <w:rsid w:val="001D2445"/>
    <w:rsid w:val="001D7055"/>
    <w:rsid w:val="001F57A3"/>
    <w:rsid w:val="002212A4"/>
    <w:rsid w:val="002A58B1"/>
    <w:rsid w:val="003163CA"/>
    <w:rsid w:val="003A36BE"/>
    <w:rsid w:val="00414382"/>
    <w:rsid w:val="00471C14"/>
    <w:rsid w:val="00512905"/>
    <w:rsid w:val="00557EA2"/>
    <w:rsid w:val="005C5B33"/>
    <w:rsid w:val="00605F28"/>
    <w:rsid w:val="00622CC6"/>
    <w:rsid w:val="00686C4C"/>
    <w:rsid w:val="00770618"/>
    <w:rsid w:val="007734F2"/>
    <w:rsid w:val="00794E6D"/>
    <w:rsid w:val="007D59F6"/>
    <w:rsid w:val="00817E78"/>
    <w:rsid w:val="008B14F4"/>
    <w:rsid w:val="008B20B6"/>
    <w:rsid w:val="008C4C2F"/>
    <w:rsid w:val="00957F67"/>
    <w:rsid w:val="009A178A"/>
    <w:rsid w:val="009D1B75"/>
    <w:rsid w:val="00A11402"/>
    <w:rsid w:val="00A66076"/>
    <w:rsid w:val="00AA0BB7"/>
    <w:rsid w:val="00AB0332"/>
    <w:rsid w:val="00AF3997"/>
    <w:rsid w:val="00B50C59"/>
    <w:rsid w:val="00B549A1"/>
    <w:rsid w:val="00BD0B62"/>
    <w:rsid w:val="00C25C3E"/>
    <w:rsid w:val="00D76A7D"/>
    <w:rsid w:val="00DE658E"/>
    <w:rsid w:val="00E60825"/>
    <w:rsid w:val="00E8595C"/>
    <w:rsid w:val="00E9612C"/>
    <w:rsid w:val="00E96E49"/>
    <w:rsid w:val="00ED6DA1"/>
    <w:rsid w:val="00F11EBF"/>
    <w:rsid w:val="00F14A0C"/>
    <w:rsid w:val="00F528BC"/>
    <w:rsid w:val="00F543AA"/>
    <w:rsid w:val="00F729DC"/>
    <w:rsid w:val="00F8524E"/>
    <w:rsid w:val="00F97AA0"/>
    <w:rsid w:val="00FD24B8"/>
    <w:rsid w:val="00FE146C"/>
    <w:rsid w:val="0138D08C"/>
    <w:rsid w:val="0526FABC"/>
    <w:rsid w:val="06142F35"/>
    <w:rsid w:val="07154139"/>
    <w:rsid w:val="089BD503"/>
    <w:rsid w:val="09B60D5E"/>
    <w:rsid w:val="0ACE77FB"/>
    <w:rsid w:val="0ADFB2D2"/>
    <w:rsid w:val="0B80788D"/>
    <w:rsid w:val="0D6695C7"/>
    <w:rsid w:val="12F2B23D"/>
    <w:rsid w:val="1950B8EA"/>
    <w:rsid w:val="1A71A5E6"/>
    <w:rsid w:val="1B031A99"/>
    <w:rsid w:val="1C999483"/>
    <w:rsid w:val="1E3564E4"/>
    <w:rsid w:val="201626D1"/>
    <w:rsid w:val="21D6A7EA"/>
    <w:rsid w:val="22DE72D3"/>
    <w:rsid w:val="248B7E0B"/>
    <w:rsid w:val="2675F8BC"/>
    <w:rsid w:val="2701E902"/>
    <w:rsid w:val="2FF007E7"/>
    <w:rsid w:val="30545FC3"/>
    <w:rsid w:val="31475A8F"/>
    <w:rsid w:val="314E8AED"/>
    <w:rsid w:val="330A9560"/>
    <w:rsid w:val="33F68770"/>
    <w:rsid w:val="343D5C66"/>
    <w:rsid w:val="34C67765"/>
    <w:rsid w:val="3B437081"/>
    <w:rsid w:val="3D8F3BD6"/>
    <w:rsid w:val="42CFEED5"/>
    <w:rsid w:val="434E8266"/>
    <w:rsid w:val="43FE7D5A"/>
    <w:rsid w:val="4628EF14"/>
    <w:rsid w:val="47361E1C"/>
    <w:rsid w:val="4760BDBE"/>
    <w:rsid w:val="4810B8B2"/>
    <w:rsid w:val="486DA90E"/>
    <w:rsid w:val="4A3EAEA3"/>
    <w:rsid w:val="4A64C244"/>
    <w:rsid w:val="4B18588A"/>
    <w:rsid w:val="4E456352"/>
    <w:rsid w:val="4EC8B951"/>
    <w:rsid w:val="526AB95C"/>
    <w:rsid w:val="536C93B6"/>
    <w:rsid w:val="54C7500A"/>
    <w:rsid w:val="5A108011"/>
    <w:rsid w:val="5D81DD9D"/>
    <w:rsid w:val="5DFD3C40"/>
    <w:rsid w:val="6075B660"/>
    <w:rsid w:val="607E1F31"/>
    <w:rsid w:val="6125B154"/>
    <w:rsid w:val="61E6E71F"/>
    <w:rsid w:val="62BFBA77"/>
    <w:rsid w:val="6427773C"/>
    <w:rsid w:val="656D88A7"/>
    <w:rsid w:val="69D8D0A7"/>
    <w:rsid w:val="72257399"/>
    <w:rsid w:val="7791D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3914"/>
  <w15:docId w15:val="{5AD2EF58-7407-462B-ACEB-00F07F85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F528BC"/>
    <w:pPr>
      <w:spacing w:line="240" w:lineRule="auto"/>
    </w:pPr>
  </w:style>
  <w:style w:type="paragraph" w:styleId="Encabezado">
    <w:name w:val="header"/>
    <w:basedOn w:val="Normal"/>
    <w:link w:val="EncabezadoCar"/>
    <w:uiPriority w:val="99"/>
    <w:unhideWhenUsed/>
    <w:rsid w:val="001F57A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F57A3"/>
  </w:style>
  <w:style w:type="paragraph" w:styleId="Piedepgina">
    <w:name w:val="footer"/>
    <w:basedOn w:val="Normal"/>
    <w:link w:val="PiedepginaCar"/>
    <w:uiPriority w:val="99"/>
    <w:unhideWhenUsed/>
    <w:rsid w:val="001F57A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F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57820864119444BAEC396BA6B9F877" ma:contentTypeVersion="17" ma:contentTypeDescription="Crear nuevo documento." ma:contentTypeScope="" ma:versionID="4318376323149bfd4e7c004028b7b741">
  <xsd:schema xmlns:xsd="http://www.w3.org/2001/XMLSchema" xmlns:xs="http://www.w3.org/2001/XMLSchema" xmlns:p="http://schemas.microsoft.com/office/2006/metadata/properties" xmlns:ns2="085bfb85-95de-4f8a-bd0c-8369027030fa" xmlns:ns3="51d4d027-b2aa-4dd7-9c7e-ff6f3117dadd" targetNamespace="http://schemas.microsoft.com/office/2006/metadata/properties" ma:root="true" ma:fieldsID="4f12447582a94401e40bf4579d246e39" ns2:_="" ns3:_="">
    <xsd:import namespace="085bfb85-95de-4f8a-bd0c-8369027030fa"/>
    <xsd:import namespace="51d4d027-b2aa-4dd7-9c7e-ff6f3117d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fb85-95de-4f8a-bd0c-836902703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4d027-b2aa-4dd7-9c7e-ff6f3117dad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af0c5af-3711-4d37-adfb-2c0d4a41d40b}" ma:internalName="TaxCatchAll" ma:showField="CatchAllData" ma:web="51d4d027-b2aa-4dd7-9c7e-ff6f3117d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d4d027-b2aa-4dd7-9c7e-ff6f3117dadd" xsi:nil="true"/>
    <lcf76f155ced4ddcb4097134ff3c332f xmlns="085bfb85-95de-4f8a-bd0c-836902703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C44C8-6B67-4234-96B7-B2A782199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fb85-95de-4f8a-bd0c-8369027030fa"/>
    <ds:schemaRef ds:uri="51d4d027-b2aa-4dd7-9c7e-ff6f3117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E3C8C-E224-46EC-9A74-833402D8C16A}">
  <ds:schemaRefs>
    <ds:schemaRef ds:uri="http://schemas.microsoft.com/office/2006/metadata/properties"/>
    <ds:schemaRef ds:uri="http://schemas.microsoft.com/office/infopath/2007/PartnerControls"/>
    <ds:schemaRef ds:uri="51d4d027-b2aa-4dd7-9c7e-ff6f3117dadd"/>
    <ds:schemaRef ds:uri="085bfb85-95de-4f8a-bd0c-8369027030fa"/>
  </ds:schemaRefs>
</ds:datastoreItem>
</file>

<file path=customXml/itemProps3.xml><?xml version="1.0" encoding="utf-8"?>
<ds:datastoreItem xmlns:ds="http://schemas.openxmlformats.org/officeDocument/2006/customXml" ds:itemID="{C8946C75-B173-4268-87B4-3B02380ED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Soledad Pacheco Alonso</cp:lastModifiedBy>
  <cp:revision>4</cp:revision>
  <dcterms:created xsi:type="dcterms:W3CDTF">2023-11-29T12:29:00Z</dcterms:created>
  <dcterms:modified xsi:type="dcterms:W3CDTF">2023-11-29T12:35:00Z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0x0101002D57820864119444BAEC396BA6B9F877</vt:lpwstr>
  </property>
  <property fmtid="{D5CDD505-2E9C-101B-9397-08002B2CF9AE}" pid="3" name="MediaServiceImageTags">
    <vt:lpwstr/>
  </property>
</Properties>
</file>