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A2E" w:rsidRDefault="00527A2E" w:rsidP="00527A2E">
      <w:pPr>
        <w:spacing w:line="288" w:lineRule="auto"/>
        <w:ind w:left="851" w:right="707"/>
        <w:jc w:val="center"/>
        <w:rPr>
          <w:rFonts w:ascii="Calibri" w:eastAsia="Calibri" w:hAnsi="Calibri" w:cs="Times New Roman"/>
          <w:b/>
          <w:sz w:val="28"/>
          <w:szCs w:val="28"/>
        </w:rPr>
      </w:pPr>
    </w:p>
    <w:p w:rsidR="00CE4777" w:rsidRPr="00527A2E" w:rsidRDefault="00CE4777" w:rsidP="00527A2E">
      <w:pPr>
        <w:spacing w:line="288" w:lineRule="auto"/>
        <w:ind w:right="-1"/>
        <w:jc w:val="center"/>
        <w:rPr>
          <w:rFonts w:ascii="Calibri" w:eastAsia="Calibri" w:hAnsi="Calibri" w:cs="Times New Roman"/>
          <w:b/>
          <w:sz w:val="28"/>
          <w:szCs w:val="28"/>
        </w:rPr>
      </w:pPr>
      <w:r w:rsidRPr="00527A2E">
        <w:rPr>
          <w:rFonts w:ascii="Calibri" w:eastAsia="Calibri" w:hAnsi="Calibri" w:cs="Times New Roman"/>
          <w:b/>
          <w:sz w:val="28"/>
          <w:szCs w:val="28"/>
        </w:rPr>
        <w:t>Primera acreditación a un laboratorio para calibrar los conjuntos de medida de dosis en radioterapia de los servicios de radiofísica hospitalaria</w:t>
      </w:r>
    </w:p>
    <w:p w:rsidR="00527A2E" w:rsidRDefault="00527A2E" w:rsidP="00CE4777">
      <w:pPr>
        <w:autoSpaceDE w:val="0"/>
        <w:autoSpaceDN w:val="0"/>
        <w:adjustRightInd w:val="0"/>
        <w:spacing w:after="120" w:line="240" w:lineRule="auto"/>
        <w:rPr>
          <w:rFonts w:cs="Tahoma"/>
          <w:b/>
          <w:color w:val="4F4F4F"/>
        </w:rPr>
      </w:pPr>
    </w:p>
    <w:p w:rsidR="00CE4777" w:rsidRDefault="00CE4777" w:rsidP="00CE4777">
      <w:pPr>
        <w:autoSpaceDE w:val="0"/>
        <w:autoSpaceDN w:val="0"/>
        <w:adjustRightInd w:val="0"/>
        <w:spacing w:after="120" w:line="240" w:lineRule="auto"/>
        <w:rPr>
          <w:rFonts w:cs="Tahoma"/>
          <w:b/>
          <w:color w:val="4F4F4F"/>
        </w:rPr>
      </w:pPr>
      <w:r>
        <w:rPr>
          <w:rFonts w:cs="Tahoma"/>
          <w:b/>
          <w:color w:val="4F4F4F"/>
        </w:rPr>
        <w:t>La calibración es crítica para asegurar que la dosis terapéutica alcanza los valores prescritos por el oncólogo</w:t>
      </w:r>
    </w:p>
    <w:p w:rsidR="00CE4777" w:rsidRDefault="00CE4777" w:rsidP="00CE4777">
      <w:pPr>
        <w:spacing w:after="120" w:line="240" w:lineRule="auto"/>
        <w:jc w:val="both"/>
        <w:rPr>
          <w:rFonts w:cstheme="minorHAnsi"/>
          <w:lang w:val="es-ES_tradnl"/>
        </w:rPr>
      </w:pPr>
    </w:p>
    <w:p w:rsidR="00527A2E" w:rsidRDefault="00527A2E" w:rsidP="00CE4777">
      <w:pPr>
        <w:spacing w:after="120" w:line="240" w:lineRule="auto"/>
        <w:jc w:val="both"/>
        <w:rPr>
          <w:rFonts w:cstheme="minorHAnsi"/>
          <w:lang w:val="es-ES_tradnl"/>
        </w:rPr>
      </w:pPr>
      <w:r>
        <w:rPr>
          <w:rFonts w:cstheme="minorHAnsi"/>
          <w:lang w:val="es-ES_tradnl"/>
        </w:rPr>
        <w:t xml:space="preserve">Madrid, </w:t>
      </w:r>
      <w:r w:rsidR="006D6049">
        <w:rPr>
          <w:rFonts w:cstheme="minorHAnsi"/>
          <w:lang w:val="es-ES_tradnl"/>
        </w:rPr>
        <w:t>23</w:t>
      </w:r>
      <w:r w:rsidR="007A0BC1">
        <w:rPr>
          <w:rFonts w:cstheme="minorHAnsi"/>
          <w:lang w:val="es-ES_tradnl"/>
        </w:rPr>
        <w:t xml:space="preserve"> de abril de </w:t>
      </w:r>
      <w:r>
        <w:rPr>
          <w:rFonts w:cstheme="minorHAnsi"/>
          <w:lang w:val="es-ES_tradnl"/>
        </w:rPr>
        <w:t>2013</w:t>
      </w:r>
    </w:p>
    <w:p w:rsidR="00527A2E" w:rsidRDefault="00527A2E" w:rsidP="00527A2E">
      <w:pPr>
        <w:spacing w:after="0"/>
        <w:jc w:val="both"/>
        <w:rPr>
          <w:rFonts w:cstheme="minorHAnsi"/>
        </w:rPr>
      </w:pPr>
    </w:p>
    <w:p w:rsidR="00527A2E" w:rsidRDefault="00527A2E" w:rsidP="00527A2E">
      <w:pPr>
        <w:spacing w:after="0"/>
        <w:jc w:val="both"/>
        <w:rPr>
          <w:rFonts w:cstheme="minorHAnsi"/>
        </w:rPr>
      </w:pPr>
      <w:r>
        <w:rPr>
          <w:rFonts w:cstheme="minorHAnsi"/>
        </w:rPr>
        <w:t>La Entidad Nacional de Acreditación –ENAC- ha concedido a</w:t>
      </w:r>
      <w:r w:rsidR="0074428A">
        <w:rPr>
          <w:rFonts w:cstheme="minorHAnsi"/>
          <w:lang w:val="es-ES_tradnl"/>
        </w:rPr>
        <w:t>l L</w:t>
      </w:r>
      <w:r>
        <w:rPr>
          <w:rFonts w:cstheme="minorHAnsi"/>
          <w:lang w:val="es-ES_tradnl"/>
        </w:rPr>
        <w:t xml:space="preserve">aboratorio de </w:t>
      </w:r>
      <w:r w:rsidRPr="007E5C12">
        <w:rPr>
          <w:rFonts w:cstheme="minorHAnsi"/>
          <w:lang w:val="es-ES_tradnl"/>
        </w:rPr>
        <w:t xml:space="preserve">Radiofísica de la Universidad de Santiago de Compostela (USC) </w:t>
      </w:r>
      <w:r>
        <w:rPr>
          <w:rFonts w:cstheme="minorHAnsi"/>
          <w:lang w:val="es-ES_tradnl"/>
        </w:rPr>
        <w:t xml:space="preserve">la acreditación para </w:t>
      </w:r>
      <w:r w:rsidRPr="007E5C12">
        <w:rPr>
          <w:rFonts w:cstheme="minorHAnsi"/>
        </w:rPr>
        <w:t xml:space="preserve">calibrar los conjuntos de medida de dosis en </w:t>
      </w:r>
      <w:r>
        <w:rPr>
          <w:rFonts w:cstheme="minorHAnsi"/>
        </w:rPr>
        <w:t>r</w:t>
      </w:r>
      <w:r w:rsidRPr="007E5C12">
        <w:rPr>
          <w:rFonts w:cstheme="minorHAnsi"/>
        </w:rPr>
        <w:t>adioterapia (cámara de ionización y electrómetro) de los servic</w:t>
      </w:r>
      <w:r>
        <w:rPr>
          <w:rFonts w:cstheme="minorHAnsi"/>
        </w:rPr>
        <w:t>ios de radiofísica hospitalaria</w:t>
      </w:r>
      <w:r w:rsidR="00FB3A0B">
        <w:rPr>
          <w:rFonts w:cstheme="minorHAnsi"/>
        </w:rPr>
        <w:t>.</w:t>
      </w:r>
    </w:p>
    <w:p w:rsidR="00C614C9" w:rsidRDefault="00C614C9" w:rsidP="00527A2E">
      <w:pPr>
        <w:spacing w:after="0"/>
        <w:jc w:val="both"/>
        <w:rPr>
          <w:rFonts w:cstheme="minorHAnsi"/>
          <w:lang w:val="es-ES_tradnl"/>
        </w:rPr>
      </w:pPr>
    </w:p>
    <w:p w:rsidR="00C614C9" w:rsidRDefault="00FA5DD4" w:rsidP="00C614C9">
      <w:pPr>
        <w:spacing w:after="0"/>
        <w:jc w:val="both"/>
        <w:rPr>
          <w:rFonts w:eastAsia="Times New Roman" w:cs="Arial"/>
          <w:lang w:eastAsia="es-ES"/>
        </w:rPr>
      </w:pPr>
      <w:r>
        <w:rPr>
          <w:rFonts w:eastAsia="Times New Roman" w:cs="Arial"/>
          <w:lang w:eastAsia="es-ES"/>
        </w:rPr>
        <w:t>Estos</w:t>
      </w:r>
      <w:r w:rsidR="00C614C9" w:rsidRPr="00527A2E">
        <w:rPr>
          <w:rFonts w:eastAsia="Times New Roman" w:cs="Arial"/>
          <w:lang w:eastAsia="es-ES"/>
        </w:rPr>
        <w:t xml:space="preserve"> servicios planifican la distribución de dosis en los pacientes sometidos a tratamientos de radioterapia mediante programas de cálculo</w:t>
      </w:r>
      <w:r w:rsidR="00FD4A82">
        <w:rPr>
          <w:rFonts w:eastAsia="Times New Roman" w:cs="Arial"/>
          <w:lang w:eastAsia="es-ES"/>
        </w:rPr>
        <w:t>, pero d</w:t>
      </w:r>
      <w:r w:rsidR="00C614C9" w:rsidRPr="00527A2E">
        <w:rPr>
          <w:rFonts w:eastAsia="Times New Roman" w:cs="Arial"/>
          <w:lang w:eastAsia="es-ES"/>
        </w:rPr>
        <w:t xml:space="preserve">ichos programas necesitan el valor </w:t>
      </w:r>
      <w:proofErr w:type="gramStart"/>
      <w:r w:rsidR="00C614C9" w:rsidRPr="00527A2E">
        <w:rPr>
          <w:rFonts w:eastAsia="Times New Roman" w:cs="Arial"/>
          <w:lang w:eastAsia="es-ES"/>
        </w:rPr>
        <w:t>experimental</w:t>
      </w:r>
      <w:proofErr w:type="gramEnd"/>
      <w:r w:rsidR="00C614C9" w:rsidRPr="00527A2E">
        <w:rPr>
          <w:rFonts w:eastAsia="Times New Roman" w:cs="Arial"/>
          <w:lang w:eastAsia="es-ES"/>
        </w:rPr>
        <w:t xml:space="preserve"> de la dosis absorbida en </w:t>
      </w:r>
      <w:r w:rsidR="007A0BC1" w:rsidRPr="00527A2E">
        <w:rPr>
          <w:rFonts w:eastAsia="Times New Roman" w:cs="Arial"/>
          <w:lang w:eastAsia="es-ES"/>
        </w:rPr>
        <w:t>agua,</w:t>
      </w:r>
      <w:r w:rsidR="003A251A">
        <w:rPr>
          <w:rFonts w:eastAsia="Times New Roman" w:cs="Arial"/>
          <w:lang w:eastAsia="es-ES"/>
        </w:rPr>
        <w:t xml:space="preserve"> </w:t>
      </w:r>
      <w:r w:rsidR="00C614C9" w:rsidRPr="00527A2E">
        <w:rPr>
          <w:rFonts w:eastAsia="Times New Roman" w:cs="Arial"/>
          <w:lang w:eastAsia="es-ES"/>
        </w:rPr>
        <w:t xml:space="preserve">que sirve como </w:t>
      </w:r>
      <w:r w:rsidR="00C614C9">
        <w:rPr>
          <w:rFonts w:eastAsia="Times New Roman" w:cs="Arial"/>
          <w:lang w:eastAsia="es-ES"/>
        </w:rPr>
        <w:t>medio de referencia dosimétrica</w:t>
      </w:r>
      <w:r w:rsidR="00C614C9" w:rsidRPr="00527A2E">
        <w:rPr>
          <w:rFonts w:eastAsia="Times New Roman" w:cs="Arial"/>
          <w:lang w:eastAsia="es-ES"/>
        </w:rPr>
        <w:t>.</w:t>
      </w:r>
    </w:p>
    <w:p w:rsidR="00C614C9" w:rsidRDefault="00C614C9" w:rsidP="00C614C9">
      <w:pPr>
        <w:spacing w:after="0"/>
        <w:jc w:val="both"/>
        <w:rPr>
          <w:rFonts w:eastAsia="Times New Roman" w:cs="Arial"/>
          <w:lang w:eastAsia="es-ES"/>
        </w:rPr>
      </w:pPr>
    </w:p>
    <w:p w:rsidR="00C614C9" w:rsidRPr="00527A2E" w:rsidRDefault="00C614C9" w:rsidP="00C614C9">
      <w:pPr>
        <w:spacing w:after="0"/>
        <w:jc w:val="both"/>
        <w:rPr>
          <w:rFonts w:eastAsia="Times New Roman" w:cs="Arial"/>
          <w:lang w:eastAsia="es-ES"/>
        </w:rPr>
      </w:pPr>
      <w:r w:rsidRPr="00527A2E">
        <w:rPr>
          <w:rFonts w:eastAsia="Times New Roman" w:cs="Arial"/>
          <w:lang w:eastAsia="es-ES"/>
        </w:rPr>
        <w:t>La precisión de la determinación de esta dosis, que se mide con una cámara de ionización, interviene en la precisión global con la que un tratamiento de radioterapia deposita la dosis planificada en el volumen del tumor. La calibración precisa de las cámaras de ionización es</w:t>
      </w:r>
      <w:r w:rsidR="00FD4A82">
        <w:rPr>
          <w:rFonts w:eastAsia="Times New Roman" w:cs="Arial"/>
          <w:lang w:eastAsia="es-ES"/>
        </w:rPr>
        <w:t xml:space="preserve">, por tanto, </w:t>
      </w:r>
      <w:r w:rsidRPr="00527A2E">
        <w:rPr>
          <w:rFonts w:eastAsia="Times New Roman" w:cs="Arial"/>
          <w:lang w:eastAsia="es-ES"/>
        </w:rPr>
        <w:t xml:space="preserve"> crítica para asegurar que la dosis terapéutica alcanza los valores prescritos por el oncólogo.</w:t>
      </w:r>
    </w:p>
    <w:p w:rsidR="00527A2E" w:rsidRDefault="00527A2E" w:rsidP="00527A2E">
      <w:pPr>
        <w:spacing w:after="0"/>
        <w:jc w:val="both"/>
        <w:rPr>
          <w:rFonts w:eastAsia="Times New Roman" w:cs="Arial"/>
          <w:lang w:eastAsia="es-ES"/>
        </w:rPr>
      </w:pPr>
    </w:p>
    <w:p w:rsidR="00527A2E" w:rsidRDefault="00CE4777" w:rsidP="00527A2E">
      <w:pPr>
        <w:spacing w:after="0"/>
        <w:jc w:val="both"/>
        <w:rPr>
          <w:rFonts w:eastAsia="Times New Roman" w:cs="Arial"/>
          <w:lang w:eastAsia="es-ES"/>
        </w:rPr>
      </w:pPr>
      <w:r w:rsidRPr="00527A2E">
        <w:rPr>
          <w:rFonts w:eastAsia="Times New Roman" w:cs="Arial"/>
          <w:lang w:eastAsia="es-ES"/>
        </w:rPr>
        <w:t>El Laboratorio de Radiofísica (RPL) es una Plataforma Tecnológica de la Red de Infraestructuras de Apoyo a la Investigación y el Desarrollo Tecnológico (RIAIDT) de la Universidad de Santiago de Compostela, y está coordinada por el Grupo de Investigación en Radiofísica. Este Laboratorio</w:t>
      </w:r>
      <w:r w:rsidR="00C614C9">
        <w:rPr>
          <w:rFonts w:eastAsia="Times New Roman" w:cs="Arial"/>
          <w:lang w:eastAsia="es-ES"/>
        </w:rPr>
        <w:t>,</w:t>
      </w:r>
      <w:r w:rsidRPr="00527A2E">
        <w:rPr>
          <w:rFonts w:eastAsia="Times New Roman" w:cs="Arial"/>
          <w:lang w:eastAsia="es-ES"/>
        </w:rPr>
        <w:t xml:space="preserve"> en funcionamiento desde 2010</w:t>
      </w:r>
      <w:r w:rsidR="00C614C9">
        <w:rPr>
          <w:rFonts w:eastAsia="Times New Roman" w:cs="Arial"/>
          <w:lang w:eastAsia="es-ES"/>
        </w:rPr>
        <w:t xml:space="preserve">, </w:t>
      </w:r>
      <w:r w:rsidRPr="00527A2E">
        <w:rPr>
          <w:rFonts w:eastAsia="Times New Roman" w:cs="Arial"/>
          <w:lang w:eastAsia="es-ES"/>
        </w:rPr>
        <w:t>realiza actividades de I+D en el área de radioterapia, protección radiológica, ensayos no destructivos para diversos sectores, en especial para el aeroespacial. Se trata de una instalación radiactiva con un bunker dotado de una unidad de terapia de cobalto 60.</w:t>
      </w:r>
    </w:p>
    <w:p w:rsidR="007A0BC1" w:rsidRDefault="007A0BC1" w:rsidP="00CE4777">
      <w:pPr>
        <w:spacing w:after="120" w:line="240" w:lineRule="auto"/>
        <w:jc w:val="both"/>
      </w:pPr>
    </w:p>
    <w:p w:rsidR="007A0BC1" w:rsidRDefault="007A0BC1" w:rsidP="00CE4777">
      <w:pPr>
        <w:spacing w:after="120" w:line="240" w:lineRule="auto"/>
        <w:jc w:val="both"/>
      </w:pPr>
    </w:p>
    <w:p w:rsidR="00527A2E" w:rsidRPr="00823789" w:rsidRDefault="00527A2E" w:rsidP="00527A2E">
      <w:pPr>
        <w:pStyle w:val="Sinespaciado"/>
        <w:spacing w:after="200" w:line="276" w:lineRule="auto"/>
        <w:ind w:right="-2"/>
        <w:jc w:val="both"/>
        <w:rPr>
          <w:rFonts w:asciiTheme="minorHAnsi" w:hAnsiTheme="minorHAnsi" w:cs="Arial"/>
        </w:rPr>
      </w:pPr>
      <w:r w:rsidRPr="00823789">
        <w:rPr>
          <w:rFonts w:cs="Tahoma"/>
          <w:b/>
          <w:noProof/>
          <w:u w:val="single"/>
          <w:lang w:eastAsia="es-ES"/>
        </w:rPr>
        <w:t>Sobre ENAC</w:t>
      </w:r>
    </w:p>
    <w:p w:rsidR="00527A2E" w:rsidRDefault="00527A2E" w:rsidP="00527A2E">
      <w:pPr>
        <w:spacing w:after="0"/>
        <w:jc w:val="both"/>
        <w:rPr>
          <w:rFonts w:eastAsia="Times New Roman" w:cs="Arial"/>
          <w:lang w:eastAsia="es-ES"/>
        </w:rPr>
      </w:pPr>
      <w:r w:rsidRPr="005F53BF">
        <w:rPr>
          <w:rFonts w:eastAsia="Times New Roman" w:cs="Arial"/>
          <w:lang w:eastAsia="es-ES"/>
        </w:rPr>
        <w:t>La Entidad Nacional de Acreditación es la entidad designada por el estado español como único Organismo Nacional de Acreditación, de acuerdo con lo establecido en el Reglamento (CE) n.º765/2008 del Parlamento Europeo y el Consejo, de 9 de Julio de 2008 .</w:t>
      </w:r>
    </w:p>
    <w:p w:rsidR="00527A2E" w:rsidRDefault="00527A2E" w:rsidP="00527A2E">
      <w:pPr>
        <w:spacing w:after="0"/>
        <w:jc w:val="both"/>
        <w:rPr>
          <w:rFonts w:eastAsia="Times New Roman" w:cs="Arial"/>
          <w:lang w:eastAsia="es-ES"/>
        </w:rPr>
      </w:pPr>
    </w:p>
    <w:p w:rsidR="00527A2E" w:rsidRDefault="00527A2E" w:rsidP="00527A2E">
      <w:pPr>
        <w:spacing w:after="0"/>
        <w:jc w:val="both"/>
        <w:rPr>
          <w:rFonts w:eastAsia="Times New Roman" w:cs="Arial"/>
          <w:lang w:eastAsia="es-ES"/>
        </w:rPr>
      </w:pPr>
    </w:p>
    <w:p w:rsidR="00527A2E" w:rsidRDefault="00527A2E" w:rsidP="00527A2E">
      <w:pPr>
        <w:spacing w:after="0"/>
        <w:jc w:val="both"/>
        <w:rPr>
          <w:rFonts w:eastAsia="Times New Roman" w:cs="Arial"/>
          <w:lang w:eastAsia="es-ES"/>
        </w:rPr>
      </w:pPr>
    </w:p>
    <w:p w:rsidR="00527A2E" w:rsidRDefault="00527A2E" w:rsidP="00527A2E">
      <w:pPr>
        <w:spacing w:after="0"/>
        <w:jc w:val="both"/>
        <w:rPr>
          <w:rFonts w:eastAsia="Times New Roman" w:cs="Arial"/>
          <w:lang w:eastAsia="es-ES"/>
        </w:rPr>
      </w:pPr>
    </w:p>
    <w:p w:rsidR="00527A2E" w:rsidRDefault="00527A2E" w:rsidP="00527A2E">
      <w:pPr>
        <w:spacing w:after="0"/>
        <w:jc w:val="both"/>
        <w:rPr>
          <w:rFonts w:eastAsia="Times New Roman" w:cs="Arial"/>
          <w:lang w:eastAsia="es-ES"/>
        </w:rPr>
      </w:pPr>
    </w:p>
    <w:p w:rsidR="00527A2E" w:rsidRPr="0047550B" w:rsidRDefault="00527A2E" w:rsidP="00527A2E">
      <w:pPr>
        <w:spacing w:after="0"/>
        <w:jc w:val="both"/>
        <w:rPr>
          <w:rFonts w:eastAsia="Times New Roman" w:cs="Arial"/>
          <w:lang w:eastAsia="es-ES"/>
        </w:rPr>
      </w:pPr>
      <w:r w:rsidRPr="0047550B">
        <w:rPr>
          <w:rFonts w:eastAsia="Times New Roman" w:cs="Arial"/>
          <w:lang w:eastAsia="es-ES"/>
        </w:rPr>
        <w:t xml:space="preserve">ENAC desarrolla su actividad en el ámbito estatal evaluando, a través de un sistema conforme a normas internacionales, la competencia técnica de las organizaciones que ofrecen servicios de Evaluación de la Conformidad (laboratorios, entidades de certificación e inspección, verificadores, etc.) que operen en cualquier sector, sea en el ámbito voluntario o en el obligatorio cuando reglamentariamente así se establezca. </w:t>
      </w:r>
    </w:p>
    <w:p w:rsidR="00527A2E" w:rsidRDefault="00527A2E" w:rsidP="00527A2E">
      <w:pPr>
        <w:spacing w:after="0" w:line="288" w:lineRule="auto"/>
        <w:jc w:val="both"/>
        <w:rPr>
          <w:rFonts w:eastAsia="Times New Roman" w:cs="Arial"/>
          <w:lang w:eastAsia="es-ES"/>
        </w:rPr>
      </w:pPr>
    </w:p>
    <w:p w:rsidR="00527A2E" w:rsidRPr="0047550B" w:rsidRDefault="00527A2E" w:rsidP="00527A2E">
      <w:pPr>
        <w:spacing w:after="0"/>
        <w:jc w:val="both"/>
        <w:rPr>
          <w:rFonts w:eastAsia="Times New Roman" w:cs="Arial"/>
          <w:lang w:eastAsia="es-ES"/>
        </w:rPr>
      </w:pPr>
      <w:r w:rsidRPr="0047550B">
        <w:rPr>
          <w:rFonts w:eastAsia="Times New Roman" w:cs="Arial"/>
          <w:lang w:eastAsia="es-ES"/>
        </w:rPr>
        <w:t xml:space="preserve">ENAC es el miembro español de la Infraestructura Europea de Acreditación creada por el mismo Reglamento CE nº765/2008 y, como tal, miembro de EA (European Co-operation for Accreditation), y firmante de los Acuerdos Multilaterales de Reconocimiento en materia de acreditación, suscritos por las entidades de acreditación de 60 países. </w:t>
      </w:r>
    </w:p>
    <w:p w:rsidR="00527A2E" w:rsidRPr="003B75DC" w:rsidRDefault="00527A2E" w:rsidP="00527A2E">
      <w:pPr>
        <w:spacing w:after="0" w:line="288" w:lineRule="auto"/>
        <w:jc w:val="both"/>
        <w:rPr>
          <w:rFonts w:eastAsia="Times New Roman" w:cs="Arial"/>
          <w:lang w:eastAsia="es-ES"/>
        </w:rPr>
      </w:pPr>
    </w:p>
    <w:p w:rsidR="00527A2E" w:rsidRDefault="00527A2E" w:rsidP="00527A2E">
      <w:pPr>
        <w:spacing w:after="120" w:line="240" w:lineRule="auto"/>
        <w:jc w:val="both"/>
      </w:pPr>
      <w:r w:rsidRPr="00823789">
        <w:rPr>
          <w:rFonts w:cs="Arial"/>
        </w:rPr>
        <w:t xml:space="preserve">Para más información consulte la página web de ENAC: </w:t>
      </w:r>
      <w:hyperlink r:id="rId6" w:history="1">
        <w:r w:rsidRPr="00F6450A">
          <w:rPr>
            <w:rStyle w:val="Hipervnculo"/>
            <w:rFonts w:cs="Arial"/>
          </w:rPr>
          <w:t>www.enac.es</w:t>
        </w:r>
      </w:hyperlink>
    </w:p>
    <w:p w:rsidR="00CE4777" w:rsidRDefault="00CE4777" w:rsidP="00CE4777">
      <w:pPr>
        <w:spacing w:after="120" w:line="240" w:lineRule="auto"/>
        <w:jc w:val="both"/>
      </w:pPr>
    </w:p>
    <w:p w:rsidR="004733DF" w:rsidRDefault="0011581D">
      <w:r>
        <w:rPr>
          <w:noProof/>
          <w:lang w:eastAsia="es-ES"/>
        </w:rPr>
        <w:pict>
          <v:shapetype id="_x0000_t202" coordsize="21600,21600" o:spt="202" path="m,l,21600r21600,l21600,xe">
            <v:stroke joinstyle="miter"/>
            <v:path gradientshapeok="t" o:connecttype="rect"/>
          </v:shapetype>
          <v:shape id="_x0000_s1026" type="#_x0000_t202" style="position:absolute;margin-left:273.8pt;margin-top:9.15pt;width:171.55pt;height:86.15pt;z-index:251658240" stroked="f">
            <v:textbox style="mso-next-textbox:#_x0000_s1026">
              <w:txbxContent>
                <w:p w:rsidR="00527A2E" w:rsidRPr="00FE6AA3" w:rsidRDefault="00527A2E" w:rsidP="00527A2E">
                  <w:pPr>
                    <w:spacing w:after="0" w:line="240" w:lineRule="auto"/>
                    <w:ind w:right="21"/>
                    <w:rPr>
                      <w:rFonts w:cs="Tahoma"/>
                      <w:b/>
                    </w:rPr>
                  </w:pPr>
                  <w:r w:rsidRPr="00FE6AA3">
                    <w:rPr>
                      <w:rFonts w:cs="Tahoma"/>
                      <w:b/>
                    </w:rPr>
                    <w:t>Contacto de Prensa</w:t>
                  </w:r>
                </w:p>
                <w:p w:rsidR="00527A2E" w:rsidRPr="00FE6AA3" w:rsidRDefault="00527A2E" w:rsidP="00527A2E">
                  <w:pPr>
                    <w:spacing w:after="0" w:line="240" w:lineRule="auto"/>
                    <w:ind w:right="21"/>
                    <w:rPr>
                      <w:rFonts w:cs="Tahoma"/>
                    </w:rPr>
                  </w:pPr>
                  <w:r w:rsidRPr="00FE6AA3">
                    <w:rPr>
                      <w:rFonts w:cs="Tahoma"/>
                    </w:rPr>
                    <w:t>Departamento de Comunicación</w:t>
                  </w:r>
                </w:p>
                <w:p w:rsidR="00527A2E" w:rsidRPr="00FE6AA3" w:rsidRDefault="00527A2E" w:rsidP="00527A2E">
                  <w:pPr>
                    <w:spacing w:after="0" w:line="240" w:lineRule="auto"/>
                    <w:ind w:right="21"/>
                    <w:rPr>
                      <w:rFonts w:cs="Tahoma"/>
                    </w:rPr>
                  </w:pPr>
                  <w:r w:rsidRPr="00FE6AA3">
                    <w:rPr>
                      <w:rFonts w:cs="Tahoma"/>
                    </w:rPr>
                    <w:t>Isabel Coque</w:t>
                  </w:r>
                </w:p>
                <w:p w:rsidR="00527A2E" w:rsidRPr="00FE6AA3" w:rsidRDefault="00527A2E" w:rsidP="00527A2E">
                  <w:pPr>
                    <w:spacing w:after="0" w:line="240" w:lineRule="auto"/>
                    <w:ind w:right="21"/>
                    <w:rPr>
                      <w:rFonts w:cs="Tahoma"/>
                    </w:rPr>
                  </w:pPr>
                  <w:r w:rsidRPr="00FE6AA3">
                    <w:rPr>
                      <w:rFonts w:cs="Tahoma"/>
                    </w:rPr>
                    <w:t xml:space="preserve">Tfno. 91 457 32 89 </w:t>
                  </w:r>
                </w:p>
                <w:p w:rsidR="00527A2E" w:rsidRPr="00FE6AA3" w:rsidRDefault="0011581D" w:rsidP="00527A2E">
                  <w:pPr>
                    <w:spacing w:after="0"/>
                    <w:ind w:right="21"/>
                    <w:rPr>
                      <w:rFonts w:cs="Tahoma"/>
                    </w:rPr>
                  </w:pPr>
                  <w:hyperlink r:id="rId7" w:history="1">
                    <w:r w:rsidR="00527A2E" w:rsidRPr="00FE6AA3">
                      <w:rPr>
                        <w:rStyle w:val="Hipervnculo"/>
                        <w:rFonts w:cs="Tahoma"/>
                      </w:rPr>
                      <w:t>icoque@enac.es</w:t>
                    </w:r>
                  </w:hyperlink>
                </w:p>
                <w:p w:rsidR="00527A2E" w:rsidRPr="00F53336" w:rsidRDefault="00527A2E" w:rsidP="00527A2E">
                  <w:pPr>
                    <w:spacing w:after="0"/>
                    <w:ind w:right="21"/>
                    <w:rPr>
                      <w:rFonts w:ascii="Tahoma" w:hAnsi="Tahoma" w:cs="Tahoma"/>
                      <w:sz w:val="20"/>
                      <w:szCs w:val="20"/>
                    </w:rPr>
                  </w:pPr>
                </w:p>
              </w:txbxContent>
            </v:textbox>
          </v:shape>
        </w:pict>
      </w:r>
    </w:p>
    <w:sectPr w:rsidR="004733DF" w:rsidSect="004733DF">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D91" w:rsidRDefault="00581D91" w:rsidP="00527A2E">
      <w:pPr>
        <w:spacing w:after="0" w:line="240" w:lineRule="auto"/>
      </w:pPr>
      <w:r>
        <w:separator/>
      </w:r>
    </w:p>
  </w:endnote>
  <w:endnote w:type="continuationSeparator" w:id="0">
    <w:p w:rsidR="00581D91" w:rsidRDefault="00581D91" w:rsidP="00527A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D91" w:rsidRDefault="00581D91" w:rsidP="00527A2E">
      <w:pPr>
        <w:spacing w:after="0" w:line="240" w:lineRule="auto"/>
      </w:pPr>
      <w:r>
        <w:separator/>
      </w:r>
    </w:p>
  </w:footnote>
  <w:footnote w:type="continuationSeparator" w:id="0">
    <w:p w:rsidR="00581D91" w:rsidRDefault="00581D91" w:rsidP="00527A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A2E" w:rsidRDefault="00527A2E" w:rsidP="00527A2E">
    <w:pPr>
      <w:pStyle w:val="Ttulo1"/>
    </w:pPr>
    <w:r>
      <w:rPr>
        <w:rFonts w:ascii="Arial" w:hAnsi="Arial" w:cs="Arial"/>
        <w:noProof/>
      </w:rPr>
      <w:drawing>
        <wp:anchor distT="0" distB="0" distL="114300" distR="114300" simplePos="0" relativeHeight="251661312" behindDoc="0" locked="0" layoutInCell="1" allowOverlap="1">
          <wp:simplePos x="0" y="0"/>
          <wp:positionH relativeFrom="column">
            <wp:posOffset>4502785</wp:posOffset>
          </wp:positionH>
          <wp:positionV relativeFrom="paragraph">
            <wp:posOffset>-217170</wp:posOffset>
          </wp:positionV>
          <wp:extent cx="1323340" cy="728980"/>
          <wp:effectExtent l="19050" t="0" r="0" b="0"/>
          <wp:wrapTight wrapText="bothSides">
            <wp:wrapPolygon edited="0">
              <wp:start x="9328" y="0"/>
              <wp:lineTo x="622" y="7902"/>
              <wp:lineTo x="-311" y="20885"/>
              <wp:lineTo x="21455" y="20885"/>
              <wp:lineTo x="21455" y="7902"/>
              <wp:lineTo x="11505" y="0"/>
              <wp:lineTo x="9328" y="0"/>
            </wp:wrapPolygon>
          </wp:wrapTight>
          <wp:docPr id="1" name="Imagen 1" descr="LOGO ENAC COLOR FONDO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NAC COLOR FONDO TRANSPARENTE"/>
                  <pic:cNvPicPr>
                    <a:picLocks noChangeAspect="1" noChangeArrowheads="1"/>
                  </pic:cNvPicPr>
                </pic:nvPicPr>
                <pic:blipFill>
                  <a:blip r:embed="rId1"/>
                  <a:srcRect/>
                  <a:stretch>
                    <a:fillRect/>
                  </a:stretch>
                </pic:blipFill>
                <pic:spPr bwMode="auto">
                  <a:xfrm>
                    <a:off x="0" y="0"/>
                    <a:ext cx="1323340" cy="728980"/>
                  </a:xfrm>
                  <a:prstGeom prst="rect">
                    <a:avLst/>
                  </a:prstGeom>
                  <a:noFill/>
                  <a:ln w="9525">
                    <a:noFill/>
                    <a:miter lim="800000"/>
                    <a:headEnd/>
                    <a:tailEnd/>
                  </a:ln>
                </pic:spPr>
              </pic:pic>
            </a:graphicData>
          </a:graphic>
        </wp:anchor>
      </w:drawing>
    </w:r>
    <w:r>
      <w:rPr>
        <w:rFonts w:ascii="Calibri" w:hAnsi="Calibri" w:cs="Arial"/>
        <w:color w:val="595959"/>
        <w:sz w:val="40"/>
        <w:szCs w:val="40"/>
      </w:rPr>
      <w:t>NOTA</w:t>
    </w:r>
    <w:r w:rsidRPr="00181A91">
      <w:rPr>
        <w:rFonts w:ascii="Calibri" w:hAnsi="Calibri" w:cs="Arial"/>
        <w:color w:val="595959"/>
        <w:sz w:val="40"/>
        <w:szCs w:val="40"/>
      </w:rPr>
      <w:t xml:space="preserve"> DE PRENSA</w:t>
    </w:r>
    <w:r w:rsidR="0011581D">
      <w:rPr>
        <w:noProof/>
      </w:rPr>
      <w:pict>
        <v:shapetype id="_x0000_t32" coordsize="21600,21600" o:spt="32" o:oned="t" path="m,l21600,21600e" filled="f">
          <v:path arrowok="t" fillok="f" o:connecttype="none"/>
          <o:lock v:ext="edit" shapetype="t"/>
        </v:shapetype>
        <v:shape id="_x0000_s2049" type="#_x0000_t32" style="position:absolute;margin-left:-4.05pt;margin-top:30.2pt;width:153.4pt;height:0;z-index:251660288;mso-position-horizontal-relative:text;mso-position-vertical-relative:text" o:connectortype="straight" strokecolor="#f2f2f2" strokeweight="1pt">
          <v:shadow type="perspective" color="#7f7f7f" opacity=".5" offset="1pt" offset2="-3pt"/>
        </v:shape>
      </w:pict>
    </w:r>
  </w:p>
  <w:p w:rsidR="00527A2E" w:rsidRDefault="00527A2E">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rules v:ext="edit">
        <o:r id="V:Rule2" type="connector" idref="#_x0000_s2049"/>
      </o:rules>
    </o:shapelayout>
  </w:hdrShapeDefaults>
  <w:footnotePr>
    <w:footnote w:id="-1"/>
    <w:footnote w:id="0"/>
  </w:footnotePr>
  <w:endnotePr>
    <w:endnote w:id="-1"/>
    <w:endnote w:id="0"/>
  </w:endnotePr>
  <w:compat/>
  <w:rsids>
    <w:rsidRoot w:val="00CE4777"/>
    <w:rsid w:val="0011581D"/>
    <w:rsid w:val="00141C39"/>
    <w:rsid w:val="00394593"/>
    <w:rsid w:val="003A251A"/>
    <w:rsid w:val="003F4052"/>
    <w:rsid w:val="004733DF"/>
    <w:rsid w:val="005269D2"/>
    <w:rsid w:val="00527A2E"/>
    <w:rsid w:val="00581D91"/>
    <w:rsid w:val="006D6049"/>
    <w:rsid w:val="0074428A"/>
    <w:rsid w:val="007A0BC1"/>
    <w:rsid w:val="008A0B25"/>
    <w:rsid w:val="0097596F"/>
    <w:rsid w:val="00B07758"/>
    <w:rsid w:val="00B2203B"/>
    <w:rsid w:val="00BC02D2"/>
    <w:rsid w:val="00BF7E4C"/>
    <w:rsid w:val="00C3731B"/>
    <w:rsid w:val="00C614C9"/>
    <w:rsid w:val="00C80535"/>
    <w:rsid w:val="00CE4777"/>
    <w:rsid w:val="00D2610F"/>
    <w:rsid w:val="00D86EC4"/>
    <w:rsid w:val="00D9248E"/>
    <w:rsid w:val="00F51E5C"/>
    <w:rsid w:val="00F83E8D"/>
    <w:rsid w:val="00FA5DD4"/>
    <w:rsid w:val="00FB3A0B"/>
    <w:rsid w:val="00FD4A8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777"/>
  </w:style>
  <w:style w:type="paragraph" w:styleId="Ttulo1">
    <w:name w:val="heading 1"/>
    <w:basedOn w:val="Normal"/>
    <w:link w:val="Ttulo1Car"/>
    <w:uiPriority w:val="9"/>
    <w:qFormat/>
    <w:rsid w:val="00527A2E"/>
    <w:pPr>
      <w:spacing w:after="0"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E4777"/>
    <w:rPr>
      <w:color w:val="0000FF" w:themeColor="hyperlink"/>
      <w:u w:val="single"/>
    </w:rPr>
  </w:style>
  <w:style w:type="paragraph" w:styleId="Encabezado">
    <w:name w:val="header"/>
    <w:basedOn w:val="Normal"/>
    <w:link w:val="EncabezadoCar"/>
    <w:uiPriority w:val="99"/>
    <w:semiHidden/>
    <w:unhideWhenUsed/>
    <w:rsid w:val="00527A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27A2E"/>
  </w:style>
  <w:style w:type="paragraph" w:styleId="Piedepgina">
    <w:name w:val="footer"/>
    <w:basedOn w:val="Normal"/>
    <w:link w:val="PiedepginaCar"/>
    <w:uiPriority w:val="99"/>
    <w:semiHidden/>
    <w:unhideWhenUsed/>
    <w:rsid w:val="00527A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27A2E"/>
  </w:style>
  <w:style w:type="character" w:customStyle="1" w:styleId="Ttulo1Car">
    <w:name w:val="Título 1 Car"/>
    <w:basedOn w:val="Fuentedeprrafopredeter"/>
    <w:link w:val="Ttulo1"/>
    <w:uiPriority w:val="9"/>
    <w:rsid w:val="00527A2E"/>
    <w:rPr>
      <w:rFonts w:ascii="Times New Roman" w:eastAsia="Times New Roman" w:hAnsi="Times New Roman" w:cs="Times New Roman"/>
      <w:b/>
      <w:bCs/>
      <w:kern w:val="36"/>
      <w:sz w:val="48"/>
      <w:szCs w:val="48"/>
      <w:lang w:eastAsia="es-ES"/>
    </w:rPr>
  </w:style>
  <w:style w:type="paragraph" w:styleId="Sinespaciado">
    <w:name w:val="No Spacing"/>
    <w:uiPriority w:val="1"/>
    <w:qFormat/>
    <w:rsid w:val="00527A2E"/>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7A0B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0B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coque@ena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ac.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2505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isabelc</dc:creator>
  <cp:keywords/>
  <dc:description/>
  <cp:lastModifiedBy>IreneGonzalez</cp:lastModifiedBy>
  <cp:revision>2</cp:revision>
  <dcterms:created xsi:type="dcterms:W3CDTF">2013-04-23T10:17:00Z</dcterms:created>
  <dcterms:modified xsi:type="dcterms:W3CDTF">2013-04-23T10:17:00Z</dcterms:modified>
</cp:coreProperties>
</file>