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56874" w:rsidRDefault="00956874">
      <w:pPr>
        <w:jc w:val="center"/>
        <w:rPr>
          <w:rFonts w:ascii="Calibri" w:eastAsia="Calibri" w:hAnsi="Calibri" w:cs="Calibri"/>
          <w:b/>
          <w:sz w:val="40"/>
          <w:szCs w:val="40"/>
        </w:rPr>
      </w:pPr>
    </w:p>
    <w:p w14:paraId="00000002" w14:textId="77777777" w:rsidR="00956874" w:rsidRDefault="008170D9">
      <w:pPr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El nuevo real decreto sobre los vehículos al final de su vida útil incorpora la certificación de personas acreditada por ENAC</w:t>
      </w:r>
    </w:p>
    <w:p w14:paraId="00000003" w14:textId="77777777" w:rsidR="00956874" w:rsidRDefault="0095687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04" w14:textId="77777777" w:rsidR="00956874" w:rsidRDefault="008170D9">
      <w:pPr>
        <w:numPr>
          <w:ilvl w:val="0"/>
          <w:numId w:val="1"/>
        </w:num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La certificación de personas acreditada por ENAC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de acuerdo a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la norma UNE- EN ISO 17024 es una de las herramientas con la que los profesionales de los centros autorizados de tratamiento (CAT) de vehículos, que se encarguen de manipular vehículos eléctrico</w:t>
      </w:r>
      <w:r>
        <w:rPr>
          <w:rFonts w:ascii="Calibri" w:eastAsia="Calibri" w:hAnsi="Calibri" w:cs="Calibri"/>
          <w:b/>
          <w:sz w:val="22"/>
          <w:szCs w:val="22"/>
        </w:rPr>
        <w:t xml:space="preserve">s y/o híbridos, podrán demostrar su capacitación  </w:t>
      </w:r>
    </w:p>
    <w:p w14:paraId="00000005" w14:textId="77777777" w:rsidR="00956874" w:rsidRDefault="0095687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006" w14:textId="77777777" w:rsidR="00956874" w:rsidRDefault="008170D9">
      <w:pPr>
        <w:numPr>
          <w:ilvl w:val="0"/>
          <w:numId w:val="1"/>
        </w:num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>El Ministerio de la Presidencia, Relaciones con las Cortes y Memoria Democrática incorpora la acreditación de ENAC en su nuevo Real Decreto para aportar garantías sobre la competencia y seguridad de los p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rofesionales </w:t>
      </w:r>
    </w:p>
    <w:p w14:paraId="00000007" w14:textId="77777777" w:rsidR="00956874" w:rsidRDefault="00956874">
      <w:pPr>
        <w:ind w:left="720"/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00000008" w14:textId="77777777" w:rsidR="00956874" w:rsidRDefault="008170D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26 de mayo de 2021</w:t>
      </w:r>
      <w:r>
        <w:rPr>
          <w:rFonts w:ascii="Calibri" w:eastAsia="Calibri" w:hAnsi="Calibri" w:cs="Calibri"/>
          <w:sz w:val="22"/>
          <w:szCs w:val="22"/>
        </w:rPr>
        <w:t xml:space="preserve">.- </w:t>
      </w:r>
      <w:r>
        <w:rPr>
          <w:rFonts w:ascii="Calibri" w:eastAsia="Calibri" w:hAnsi="Calibri" w:cs="Calibri"/>
          <w:sz w:val="22"/>
          <w:szCs w:val="22"/>
        </w:rPr>
        <w:t>El Ministerio de la Presidencia, Relaciones con las Cortes y Memoria Democrática ha publicado el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 </w:t>
      </w:r>
      <w:hyperlink r:id="rId10">
        <w:r>
          <w:rPr>
            <w:rFonts w:ascii="Calibri" w:eastAsia="Calibri" w:hAnsi="Calibri" w:cs="Calibri"/>
            <w:color w:val="D91D24"/>
            <w:sz w:val="22"/>
            <w:szCs w:val="22"/>
            <w:u w:val="single"/>
          </w:rPr>
          <w:t>Real Decreto 265/2021</w:t>
        </w:r>
      </w:hyperlink>
      <w:r>
        <w:rPr>
          <w:rFonts w:ascii="Calibri" w:eastAsia="Calibri" w:hAnsi="Calibri" w:cs="Calibri"/>
          <w:color w:val="333333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sobre el final de la vida út</w:t>
      </w:r>
      <w:r>
        <w:rPr>
          <w:rFonts w:ascii="Calibri" w:eastAsia="Calibri" w:hAnsi="Calibri" w:cs="Calibri"/>
          <w:sz w:val="22"/>
          <w:szCs w:val="22"/>
        </w:rPr>
        <w:t xml:space="preserve">il de los vehículos, con el objetivo de establecer las medidas destinadas a la </w:t>
      </w:r>
      <w:r>
        <w:rPr>
          <w:rFonts w:ascii="Calibri" w:eastAsia="Calibri" w:hAnsi="Calibri" w:cs="Calibri"/>
          <w:b/>
          <w:sz w:val="22"/>
          <w:szCs w:val="22"/>
        </w:rPr>
        <w:t xml:space="preserve">reutilización, el reciclado y otras formas de valorización de los vehículos al final de su vida útil, así como de prevenir la generación de residuos procedentes de ellos. </w:t>
      </w:r>
    </w:p>
    <w:p w14:paraId="00000009" w14:textId="77777777" w:rsidR="00956874" w:rsidRDefault="00956874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0A" w14:textId="77777777" w:rsidR="00956874" w:rsidRDefault="008170D9">
      <w:pPr>
        <w:spacing w:after="1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Segú</w:t>
      </w:r>
      <w:r>
        <w:rPr>
          <w:rFonts w:ascii="Calibri" w:eastAsia="Calibri" w:hAnsi="Calibri" w:cs="Calibri"/>
          <w:sz w:val="22"/>
          <w:szCs w:val="22"/>
        </w:rPr>
        <w:t xml:space="preserve">n se establece en el texto del nuevo real decreto, los profesionales de los centros autorizados de tratamiento (CAT) de vehículos que se encarguen de manipular vehículos eléctricos y/o híbridos </w:t>
      </w:r>
      <w:r>
        <w:rPr>
          <w:rFonts w:ascii="Calibri" w:eastAsia="Calibri" w:hAnsi="Calibri" w:cs="Calibri"/>
          <w:b/>
          <w:sz w:val="22"/>
          <w:szCs w:val="22"/>
        </w:rPr>
        <w:t>deberán demostrar su capacitación para operar de manera segura</w:t>
      </w:r>
      <w:r>
        <w:rPr>
          <w:rFonts w:ascii="Calibri" w:eastAsia="Calibri" w:hAnsi="Calibri" w:cs="Calibri"/>
          <w:b/>
          <w:sz w:val="22"/>
          <w:szCs w:val="22"/>
        </w:rPr>
        <w:t xml:space="preserve"> sobre estos vehículos y sus componentes</w:t>
      </w:r>
      <w:r>
        <w:rPr>
          <w:rFonts w:ascii="Calibri" w:eastAsia="Calibri" w:hAnsi="Calibri" w:cs="Calibri"/>
          <w:sz w:val="22"/>
          <w:szCs w:val="22"/>
        </w:rPr>
        <w:t xml:space="preserve">, sobre todo en lo relacionado con la extracción de las baterías de </w:t>
      </w:r>
      <w:proofErr w:type="gramStart"/>
      <w:r>
        <w:rPr>
          <w:rFonts w:ascii="Calibri" w:eastAsia="Calibri" w:hAnsi="Calibri" w:cs="Calibri"/>
          <w:sz w:val="22"/>
          <w:szCs w:val="22"/>
        </w:rPr>
        <w:t>los mismos</w:t>
      </w:r>
      <w:proofErr w:type="gramEnd"/>
      <w:r>
        <w:rPr>
          <w:rFonts w:ascii="Calibri" w:eastAsia="Calibri" w:hAnsi="Calibri" w:cs="Calibri"/>
          <w:sz w:val="22"/>
          <w:szCs w:val="22"/>
        </w:rPr>
        <w:t>, que supone un reto en materia de seguridad al implicar trabajos en alta tensión. Para demostrar sus competencias, el personal cuenta con</w:t>
      </w:r>
      <w:r>
        <w:rPr>
          <w:rFonts w:ascii="Calibri" w:eastAsia="Calibri" w:hAnsi="Calibri" w:cs="Calibri"/>
          <w:sz w:val="22"/>
          <w:szCs w:val="22"/>
        </w:rPr>
        <w:t xml:space="preserve"> dos opciones: o bien disponer de un título de formación profesional que otorgue competencias en instalación, montaje o mantenimiento de instalaciones, líneas eléctricas o electricidad del vehículo o titulación equivalente; o bien poseer una</w:t>
      </w:r>
      <w:r>
        <w:rPr>
          <w:rFonts w:ascii="Calibri" w:eastAsia="Calibri" w:hAnsi="Calibri" w:cs="Calibri"/>
          <w:b/>
          <w:sz w:val="22"/>
          <w:szCs w:val="22"/>
        </w:rPr>
        <w:t xml:space="preserve"> certificación </w:t>
      </w:r>
      <w:r>
        <w:rPr>
          <w:rFonts w:ascii="Calibri" w:eastAsia="Calibri" w:hAnsi="Calibri" w:cs="Calibri"/>
          <w:b/>
          <w:sz w:val="22"/>
          <w:szCs w:val="22"/>
        </w:rPr>
        <w:t xml:space="preserve">otorgada por una entidad acreditada para la certificación de personas por ENAC </w:t>
      </w:r>
      <w:r>
        <w:rPr>
          <w:rFonts w:ascii="Calibri" w:eastAsia="Calibri" w:hAnsi="Calibri" w:cs="Calibri"/>
          <w:sz w:val="22"/>
          <w:szCs w:val="22"/>
        </w:rPr>
        <w:t xml:space="preserve">(…) </w:t>
      </w:r>
      <w:proofErr w:type="gramStart"/>
      <w:r>
        <w:rPr>
          <w:rFonts w:ascii="Calibri" w:eastAsia="Calibri" w:hAnsi="Calibri" w:cs="Calibri"/>
          <w:sz w:val="22"/>
          <w:szCs w:val="22"/>
        </w:rPr>
        <w:t>de acuerdo 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la norma UNE- EN ISO 17024.</w:t>
      </w:r>
    </w:p>
    <w:p w14:paraId="0000000B" w14:textId="77777777" w:rsidR="00956874" w:rsidRDefault="008170D9">
      <w:pPr>
        <w:spacing w:after="1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 reconocimiento de la certificación de personas acreditada para este perfil profesional por parte del Ministerio de la Presidencia, Relaciones con las Cortes y Memoria Democrática es una muestra más de cómo la acreditación puede ayudar a controlar la ges</w:t>
      </w:r>
      <w:r>
        <w:rPr>
          <w:rFonts w:ascii="Calibri" w:eastAsia="Calibri" w:hAnsi="Calibri" w:cs="Calibri"/>
          <w:sz w:val="22"/>
          <w:szCs w:val="22"/>
        </w:rPr>
        <w:t>tión de residuos de cara a un mejor desempeño ambiental, siendo esta, además, una de las principales metas del Objetivo 12 de los ODS de Naciones Unidas sobre producción y consumo responsables.</w:t>
      </w:r>
    </w:p>
    <w:p w14:paraId="66C2C7FA" w14:textId="77777777" w:rsidR="008170D9" w:rsidRDefault="008170D9">
      <w:pPr>
        <w:spacing w:after="160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000000C" w14:textId="74D69298" w:rsidR="00956874" w:rsidRDefault="008170D9">
      <w:pPr>
        <w:spacing w:after="160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Certificación de personas acreditada, al servicio de la Admini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stración Pública</w:t>
      </w:r>
    </w:p>
    <w:p w14:paraId="0000000D" w14:textId="77777777" w:rsidR="00956874" w:rsidRDefault="008170D9">
      <w:pPr>
        <w:spacing w:after="1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Por medio de este nuevo real decreto, la Administración española manifiesta, una vez más, la confianza depositada en</w:t>
      </w:r>
      <w:r>
        <w:rPr>
          <w:rFonts w:ascii="Calibri" w:eastAsia="Calibri" w:hAnsi="Calibri" w:cs="Calibri"/>
          <w:b/>
          <w:sz w:val="22"/>
          <w:szCs w:val="22"/>
        </w:rPr>
        <w:t xml:space="preserve"> la acreditación de ENAC como herramienta para garantizar, en este caso, la competencia y seguridad de los profesionales qu</w:t>
      </w:r>
      <w:r>
        <w:rPr>
          <w:rFonts w:ascii="Calibri" w:eastAsia="Calibri" w:hAnsi="Calibri" w:cs="Calibri"/>
          <w:b/>
          <w:sz w:val="22"/>
          <w:szCs w:val="22"/>
        </w:rPr>
        <w:t xml:space="preserve">e desempeñan su actividad en el sector de los centros autorizados de tratamiento de vehículos </w:t>
      </w:r>
      <w:r>
        <w:rPr>
          <w:rFonts w:ascii="Calibri" w:eastAsia="Calibri" w:hAnsi="Calibri" w:cs="Calibri"/>
          <w:sz w:val="22"/>
          <w:szCs w:val="22"/>
        </w:rPr>
        <w:t>en el final de su vida útil.</w:t>
      </w:r>
    </w:p>
    <w:p w14:paraId="0000000E" w14:textId="77777777" w:rsidR="00956874" w:rsidRDefault="008170D9">
      <w:pPr>
        <w:spacing w:after="1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certificación de personas es un instrumento cada vez más utilizado por administraciones de todo el mundo, en este caso, por el Min</w:t>
      </w:r>
      <w:r>
        <w:rPr>
          <w:rFonts w:ascii="Calibri" w:eastAsia="Calibri" w:hAnsi="Calibri" w:cs="Calibri"/>
          <w:sz w:val="22"/>
          <w:szCs w:val="22"/>
        </w:rPr>
        <w:t xml:space="preserve">isterio de la Presidencia, Relaciones con las Cortes y Memoria Democrática, así como por el mercado y los empleadores, para aportar mayor </w:t>
      </w:r>
      <w:r>
        <w:rPr>
          <w:rFonts w:ascii="Calibri" w:eastAsia="Calibri" w:hAnsi="Calibri" w:cs="Calibri"/>
          <w:sz w:val="22"/>
          <w:szCs w:val="22"/>
        </w:rPr>
        <w:lastRenderedPageBreak/>
        <w:t>confianza sobre la competencia de determinadas personas para ejecutar ciertas actividades. Este incremento de la confi</w:t>
      </w:r>
      <w:r>
        <w:rPr>
          <w:rFonts w:ascii="Calibri" w:eastAsia="Calibri" w:hAnsi="Calibri" w:cs="Calibri"/>
          <w:sz w:val="22"/>
          <w:szCs w:val="22"/>
        </w:rPr>
        <w:t>anza se logra a través de un proceso de evaluación y reevaluaciones periódicas de la competencia de los profesionales certificados, que está globalmente aceptado y que está descrito en la norma UNE-EN ISO/IEC 17024.</w:t>
      </w:r>
    </w:p>
    <w:p w14:paraId="0000000F" w14:textId="77777777" w:rsidR="00956874" w:rsidRDefault="008170D9">
      <w:pPr>
        <w:spacing w:after="1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Esta herramienta da respuesta a la apari</w:t>
      </w:r>
      <w:r>
        <w:rPr>
          <w:rFonts w:ascii="Calibri" w:eastAsia="Calibri" w:hAnsi="Calibri" w:cs="Calibri"/>
          <w:sz w:val="22"/>
          <w:szCs w:val="22"/>
        </w:rPr>
        <w:t>ción de nuevos nichos laborales, que requieren competencias específicas no resueltas por la formación reglada tradicional. Asimismo, permite a los clientes realizar una elección más informada, al contar estos con una información más transparente y simétric</w:t>
      </w:r>
      <w:r>
        <w:rPr>
          <w:rFonts w:ascii="Calibri" w:eastAsia="Calibri" w:hAnsi="Calibri" w:cs="Calibri"/>
          <w:sz w:val="22"/>
          <w:szCs w:val="22"/>
        </w:rPr>
        <w:t>a sobre las competencias de los profesionales a los que pueden contratar, lo que aumenta la transparencia y competitividad de los mercados de servicios profesionales. Es, además, una herramienta de autorregulación de profesiones no reguladas, al aumentar e</w:t>
      </w:r>
      <w:r>
        <w:rPr>
          <w:rFonts w:ascii="Calibri" w:eastAsia="Calibri" w:hAnsi="Calibri" w:cs="Calibri"/>
          <w:sz w:val="22"/>
          <w:szCs w:val="22"/>
        </w:rPr>
        <w:t>l nivel de exigencia y dificultar, así, el “intrusismo” y el fraude.</w:t>
      </w:r>
    </w:p>
    <w:p w14:paraId="05464BCC" w14:textId="77777777" w:rsidR="008170D9" w:rsidRDefault="008170D9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0000010" w14:textId="2C4C46D6" w:rsidR="00956874" w:rsidRDefault="008170D9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Sobre ENAC</w:t>
      </w:r>
    </w:p>
    <w:p w14:paraId="00000011" w14:textId="77777777" w:rsidR="00956874" w:rsidRDefault="00956874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0000012" w14:textId="17BAA6E2" w:rsidR="00956874" w:rsidRDefault="008170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La Entidad Nacional de Acreditación – ENAC – es la entidad designada por el Gobierno para operar en España como el único Organismo Nacional de Acreditación, en aplicación del Reglamento (CE) nº</w:t>
      </w:r>
      <w:r>
        <w:rPr>
          <w:rFonts w:ascii="Calibri" w:eastAsia="Calibri" w:hAnsi="Calibri" w:cs="Calibri"/>
          <w:color w:val="000000"/>
          <w:sz w:val="22"/>
          <w:szCs w:val="22"/>
        </w:rPr>
        <w:t>765/2008 del Parlamento Europeo que regula el funcionamiento d</w:t>
      </w:r>
      <w:r>
        <w:rPr>
          <w:rFonts w:ascii="Calibri" w:eastAsia="Calibri" w:hAnsi="Calibri" w:cs="Calibri"/>
          <w:color w:val="000000"/>
          <w:sz w:val="22"/>
          <w:szCs w:val="22"/>
        </w:rPr>
        <w:t>e la acreditación en Europa.</w:t>
      </w:r>
    </w:p>
    <w:p w14:paraId="00000013" w14:textId="77777777" w:rsidR="00956874" w:rsidRDefault="008170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1F497D"/>
          <w:sz w:val="22"/>
          <w:szCs w:val="22"/>
        </w:rPr>
        <w:t> </w:t>
      </w:r>
    </w:p>
    <w:p w14:paraId="00000014" w14:textId="77777777" w:rsidR="00956874" w:rsidRDefault="008170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ENAC tiene como misión generar confianza en el mercado y en la sociedad evaluando, a través de un sistema conforme a normas internacionales, la competencia técnica de laboratorios de ensayo o calibración, entidades de inspecc</w:t>
      </w:r>
      <w:r>
        <w:rPr>
          <w:rFonts w:ascii="Calibri" w:eastAsia="Calibri" w:hAnsi="Calibri" w:cs="Calibri"/>
          <w:color w:val="000000"/>
          <w:sz w:val="22"/>
          <w:szCs w:val="22"/>
        </w:rPr>
        <w:t>ión, entidades de certificación y verificadores medioambientales que desarrollen su actividad en cualquier sector: industria,  energía, medio ambiente, sanidad, alimentación, investigación, desarrollo e innovación, transportes, telecomunicaciones, turismo,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servicios, construcción, etc. Contribuye, así, a la seguridad y el bienestar de las personas, la calidad de los productos y servicios, la protección del medioambiente y, con ello, al aumento de la competitividad de los productos y servicios españoles y a </w:t>
      </w:r>
      <w:r>
        <w:rPr>
          <w:rFonts w:ascii="Calibri" w:eastAsia="Calibri" w:hAnsi="Calibri" w:cs="Calibri"/>
          <w:color w:val="000000"/>
          <w:sz w:val="22"/>
          <w:szCs w:val="22"/>
        </w:rPr>
        <w:t>una disminución de los costes para la sociedad debidos a estas actividades. </w:t>
      </w:r>
    </w:p>
    <w:p w14:paraId="00000015" w14:textId="77777777" w:rsidR="00956874" w:rsidRDefault="008170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00000016" w14:textId="77777777" w:rsidR="00956874" w:rsidRDefault="008170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La marca ENAC es la manera de distinguir si un certificado o informe está acreditado o no. Es la garantía de que la organización que lo emite es técnicamente competente para lle</w:t>
      </w:r>
      <w:r>
        <w:rPr>
          <w:rFonts w:ascii="Calibri" w:eastAsia="Calibri" w:hAnsi="Calibri" w:cs="Calibri"/>
          <w:color w:val="000000"/>
          <w:sz w:val="22"/>
          <w:szCs w:val="22"/>
        </w:rPr>
        <w:t>var a cabo la tarea que realiza, y lo es tanto en España como en los 100 países en los que la marca de ENAC es reconocida y aceptada gracias a los acuerdos de reconocimiento que ENAC ha suscrito con las entidades de acreditación de esos países.</w:t>
      </w:r>
    </w:p>
    <w:p w14:paraId="00000017" w14:textId="77777777" w:rsidR="00956874" w:rsidRDefault="00956874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00000018" w14:textId="77777777" w:rsidR="00956874" w:rsidRDefault="008170D9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hyperlink r:id="rId11">
        <w:r>
          <w:rPr>
            <w:rFonts w:ascii="Calibri" w:eastAsia="Calibri" w:hAnsi="Calibri" w:cs="Calibri"/>
            <w:color w:val="0000FF"/>
            <w:u w:val="single"/>
          </w:rPr>
          <w:t>www.enac.es</w:t>
        </w:r>
      </w:hyperlink>
      <w:r>
        <w:rPr>
          <w:rFonts w:ascii="Calibri" w:eastAsia="Calibri" w:hAnsi="Calibri" w:cs="Calibri"/>
          <w:color w:val="000000"/>
        </w:rPr>
        <w:t xml:space="preserve"> </w:t>
      </w:r>
    </w:p>
    <w:p w14:paraId="00000019" w14:textId="77777777" w:rsidR="00956874" w:rsidRDefault="008170D9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3812</wp:posOffset>
            </wp:positionH>
            <wp:positionV relativeFrom="paragraph">
              <wp:posOffset>118110</wp:posOffset>
            </wp:positionV>
            <wp:extent cx="221615" cy="181610"/>
            <wp:effectExtent l="0" t="0" r="0" b="0"/>
            <wp:wrapSquare wrapText="bothSides" distT="0" distB="0" distL="114300" distR="114300"/>
            <wp:docPr id="1" name="image3.png" descr="Resultado de imagen de icono twit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Resultado de imagen de icono twitter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" cy="181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293370</wp:posOffset>
            </wp:positionH>
            <wp:positionV relativeFrom="paragraph">
              <wp:posOffset>78105</wp:posOffset>
            </wp:positionV>
            <wp:extent cx="221615" cy="221615"/>
            <wp:effectExtent l="0" t="0" r="0" b="0"/>
            <wp:wrapSquare wrapText="bothSides" distT="0" distB="0" distL="114300" distR="114300"/>
            <wp:docPr id="3" name="image1.png" descr="Resultado de imagen de icono linked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n de icono linkedin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1A" w14:textId="77777777" w:rsidR="00956874" w:rsidRDefault="00956874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0000001B" w14:textId="77777777" w:rsidR="00956874" w:rsidRDefault="00956874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C" w14:textId="77777777" w:rsidR="00956874" w:rsidRDefault="009568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D" w14:textId="77777777" w:rsidR="00956874" w:rsidRDefault="008170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Para más información sobre la nota de prensa, resolver dudas o gestionar entrevistas</w:t>
      </w:r>
    </w:p>
    <w:p w14:paraId="0000001E" w14:textId="77777777" w:rsidR="00956874" w:rsidRDefault="008170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Eva Martín</w:t>
      </w:r>
    </w:p>
    <w:p w14:paraId="0000001F" w14:textId="77777777" w:rsidR="00956874" w:rsidRDefault="008170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Tfno. 628 17 49 01 /  </w:t>
      </w:r>
      <w:hyperlink r:id="rId14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evamc@varenga.es</w:t>
        </w:r>
      </w:hyperlink>
    </w:p>
    <w:p w14:paraId="00000020" w14:textId="77777777" w:rsidR="00956874" w:rsidRDefault="009568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00000021" w14:textId="77777777" w:rsidR="00956874" w:rsidRDefault="009568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00000022" w14:textId="77777777" w:rsidR="00956874" w:rsidRDefault="009568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sectPr w:rsidR="00956874">
      <w:headerReference w:type="default" r:id="rId15"/>
      <w:footerReference w:type="default" r:id="rId1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864A3" w14:textId="77777777" w:rsidR="00000000" w:rsidRDefault="008170D9">
      <w:r>
        <w:separator/>
      </w:r>
    </w:p>
  </w:endnote>
  <w:endnote w:type="continuationSeparator" w:id="0">
    <w:p w14:paraId="076B9616" w14:textId="77777777" w:rsidR="00000000" w:rsidRDefault="0081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956874" w:rsidRDefault="009568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00000027" w14:textId="77777777" w:rsidR="00956874" w:rsidRDefault="009568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0F8DF" w14:textId="77777777" w:rsidR="00000000" w:rsidRDefault="008170D9">
      <w:r>
        <w:separator/>
      </w:r>
    </w:p>
  </w:footnote>
  <w:footnote w:type="continuationSeparator" w:id="0">
    <w:p w14:paraId="6D33A881" w14:textId="77777777" w:rsidR="00000000" w:rsidRDefault="00817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956874" w:rsidRDefault="008170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b/>
        <w:color w:val="000000"/>
        <w:sz w:val="40"/>
        <w:szCs w:val="40"/>
      </w:rPr>
    </w:pPr>
    <w:r>
      <w:rPr>
        <w:rFonts w:ascii="Calibri" w:eastAsia="Calibri" w:hAnsi="Calibri" w:cs="Calibri"/>
        <w:b/>
        <w:color w:val="000000"/>
        <w:sz w:val="40"/>
        <w:szCs w:val="40"/>
      </w:rPr>
      <w:t>NOTA DE PRENSA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4080509</wp:posOffset>
          </wp:positionH>
          <wp:positionV relativeFrom="paragraph">
            <wp:posOffset>-109852</wp:posOffset>
          </wp:positionV>
          <wp:extent cx="1324610" cy="733425"/>
          <wp:effectExtent l="0" t="0" r="0" b="0"/>
          <wp:wrapSquare wrapText="bothSides" distT="0" distB="0" distL="114300" distR="114300"/>
          <wp:docPr id="2" name="image2.png" descr="LOGO ENAC COLOR FONDO TRANSPAR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ENAC COLOR FONDO TRANSPAR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4610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24" w14:textId="77777777" w:rsidR="00956874" w:rsidRDefault="009568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b/>
        <w:color w:val="000000"/>
        <w:sz w:val="28"/>
        <w:szCs w:val="28"/>
      </w:rPr>
    </w:pPr>
  </w:p>
  <w:p w14:paraId="00000025" w14:textId="77777777" w:rsidR="00956874" w:rsidRDefault="009568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66AC6"/>
    <w:multiLevelType w:val="multilevel"/>
    <w:tmpl w:val="0D90A4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74"/>
    <w:rsid w:val="008170D9"/>
    <w:rsid w:val="0095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DD07"/>
  <w15:docId w15:val="{2852F6A6-868A-4E3C-9839-E5872BCE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after="210"/>
      <w:outlineLvl w:val="0"/>
    </w:pPr>
    <w:rPr>
      <w:rFonts w:ascii="Helvetica Neue" w:eastAsia="Helvetica Neue" w:hAnsi="Helvetica Neue" w:cs="Helvetica Neue"/>
      <w:b/>
      <w:color w:val="222222"/>
      <w:sz w:val="66"/>
      <w:szCs w:val="6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ac.e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boe.es/buscar/doc.php?id=BOE-A-2021-586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vamc@vareng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0" ma:contentTypeDescription="Crear nuevo documento." ma:contentTypeScope="" ma:versionID="1ad5c42f14a43605b588c89f181eecdb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1cd2dc0501ed4977da37ee07d257d4a9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80CCB5-34D3-48E5-AD9C-2E45EC6571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568484-1154-4A12-9ED9-A067922DA7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11E21-C160-4B3F-8F0A-62E5626F0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913</Words>
  <Characters>5025</Characters>
  <Application>Microsoft Office Word</Application>
  <DocSecurity>0</DocSecurity>
  <Lines>41</Lines>
  <Paragraphs>11</Paragraphs>
  <ScaleCrop>false</ScaleCrop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Denise Diaz Pozo</cp:lastModifiedBy>
  <cp:revision>2</cp:revision>
  <dcterms:created xsi:type="dcterms:W3CDTF">2021-06-07T09:19:00Z</dcterms:created>
  <dcterms:modified xsi:type="dcterms:W3CDTF">2021-06-07T09:19:00Z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</Properties>
</file>