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3C" w:rsidRDefault="006B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6"/>
          <w:szCs w:val="36"/>
        </w:rPr>
      </w:pPr>
    </w:p>
    <w:p w:rsidR="006B243C" w:rsidRDefault="00414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Laboratorio de </w:t>
      </w:r>
      <w:bookmarkStart w:id="0" w:name="_GoBack"/>
      <w:r>
        <w:rPr>
          <w:b/>
          <w:sz w:val="36"/>
          <w:szCs w:val="36"/>
        </w:rPr>
        <w:t>Metrología Ultrasónica Médica del ITEFI-CSIC</w:t>
      </w:r>
      <w:bookmarkEnd w:id="0"/>
      <w:r>
        <w:rPr>
          <w:b/>
          <w:sz w:val="36"/>
          <w:szCs w:val="36"/>
        </w:rPr>
        <w:t xml:space="preserve">, primer acreditado por ENAC para calibraciones de potencia ultrasónica </w:t>
      </w:r>
    </w:p>
    <w:p w:rsidR="006B243C" w:rsidRDefault="006B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6B243C" w:rsidRDefault="006B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6B243C" w:rsidRDefault="00414CD4">
      <w:pPr>
        <w:numPr>
          <w:ilvl w:val="0"/>
          <w:numId w:val="1"/>
        </w:numPr>
        <w:spacing w:after="160" w:line="240" w:lineRule="auto"/>
        <w:jc w:val="both"/>
        <w:rPr>
          <w:b/>
        </w:rPr>
      </w:pPr>
      <w:r>
        <w:rPr>
          <w:b/>
        </w:rPr>
        <w:t>Las aplicaciones médicas de los ultrasonidos cubren un amplio espectro que va desde la terapia, la monitorización fetal</w:t>
      </w:r>
      <w:r>
        <w:rPr>
          <w:b/>
        </w:rPr>
        <w:t xml:space="preserve"> y la imagen diagnóstica, hasta la medida del flujo sanguíneo</w:t>
      </w:r>
    </w:p>
    <w:p w:rsidR="006B243C" w:rsidRDefault="00414C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</w:rPr>
      </w:pPr>
      <w:bookmarkStart w:id="1" w:name="_gjdgxs" w:colFirst="0" w:colLast="0"/>
      <w:bookmarkEnd w:id="1"/>
      <w:r>
        <w:rPr>
          <w:b/>
        </w:rPr>
        <w:t>Con esta acreditación, se convierte en el primer laboratorio en España y uno de los pocos del mundo en poder ofrecer este servicio con competencia técnica demostrada</w:t>
      </w:r>
    </w:p>
    <w:p w:rsidR="006B243C" w:rsidRDefault="006B243C">
      <w:pPr>
        <w:spacing w:after="160" w:line="240" w:lineRule="auto"/>
        <w:ind w:left="720"/>
        <w:jc w:val="both"/>
      </w:pPr>
    </w:p>
    <w:p w:rsidR="006B243C" w:rsidRDefault="006B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:rsidR="006B243C" w:rsidRDefault="00414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Madrid, 05 de mayo de 2020.- El</w:t>
      </w:r>
      <w:r>
        <w:rPr>
          <w:b/>
        </w:rPr>
        <w:t xml:space="preserve"> Laboratorio de Metrología Ultrasónica Médica del Instituto de Tecnologías Físicas y de la Información</w:t>
      </w:r>
      <w:r>
        <w:t xml:space="preserve"> (ITEFI), perteneciente al Consejo Superior de Investigaciones Científicas (CSIC), ha obtenido la acreditación de ENAC - la</w:t>
      </w:r>
      <w:r>
        <w:t xml:space="preserve"> </w:t>
      </w:r>
      <w:hyperlink r:id="rId7">
        <w:r>
          <w:rPr>
            <w:color w:val="1155CC"/>
            <w:u w:val="single"/>
          </w:rPr>
          <w:t xml:space="preserve">Entidad Nacional de Acreditación </w:t>
        </w:r>
      </w:hyperlink>
      <w:proofErr w:type="gramStart"/>
      <w:r>
        <w:t>-  para</w:t>
      </w:r>
      <w:proofErr w:type="gramEnd"/>
      <w:r>
        <w:t xml:space="preserve"> la calibración, en potencia, de equipos de ultrasonido, tanto para patrones de ultrasonido industriales como de equipos médicos conforme a la norma internacional IEC 61161, que</w:t>
      </w:r>
      <w:r>
        <w:t xml:space="preserve"> establece los requisitos de funcionamiento y balances de la fuerza de radiación para la medición de potencia de ultrasonidos. Se convierte, así, en el primer laboratorio español y uno de los pocos del mundo en poder ofrecer este servicio con competencia t</w:t>
      </w:r>
      <w:r>
        <w:t xml:space="preserve">écnica demostrada. </w:t>
      </w:r>
    </w:p>
    <w:p w:rsidR="006B243C" w:rsidRDefault="006B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6B243C" w:rsidRDefault="00414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Las aplicaciones médicas de los ultrasonidos cubren un amplio espectro que va desde la terapia, la monitorización fetal y la imagen diagnóstica, hasta la medida del flujo sanguíneo. Desde los primeros desarrollos de los ultrasonidos mé</w:t>
      </w:r>
      <w:r>
        <w:t xml:space="preserve">dicos ha existido un gran interés por la medida y caracterización de los campos ultrasónicos generados en estas aplicaciones, ya sea por razones de seguridad o para determinar el funcionamiento de los equipos. </w:t>
      </w:r>
    </w:p>
    <w:p w:rsidR="006B243C" w:rsidRDefault="006B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6B243C" w:rsidRDefault="00414CD4">
      <w:pPr>
        <w:jc w:val="both"/>
      </w:pPr>
      <w:r>
        <w:t>Sin embargo, a pesar de la existencia de num</w:t>
      </w:r>
      <w:r>
        <w:t xml:space="preserve">erosas normas internacionales que facilitan la realización de la medición de los campos ultrasónicos médicos, la complejidad de </w:t>
      </w:r>
      <w:proofErr w:type="gramStart"/>
      <w:r>
        <w:t>las mismas</w:t>
      </w:r>
      <w:proofErr w:type="gramEnd"/>
      <w:r>
        <w:t xml:space="preserve"> hace que no existan demasiados centros en el mundo con capacidad para realizar esta tarea. Uno de ellos es el Laborat</w:t>
      </w:r>
      <w:r>
        <w:t>orio de Ultrasónica Medica del Instituto de Acústica del ITEFI-CSIC que acaba de ser acreditado por ENAC, lo que le permite demostrar a sus clientes su competencia técnica para realizar esta actividad.</w:t>
      </w:r>
    </w:p>
    <w:p w:rsidR="006B243C" w:rsidRDefault="00414CD4">
      <w:pPr>
        <w:jc w:val="both"/>
        <w:rPr>
          <w:b/>
          <w:u w:val="single"/>
        </w:rPr>
      </w:pPr>
      <w:r>
        <w:rPr>
          <w:b/>
          <w:u w:val="single"/>
        </w:rPr>
        <w:t>Calibración acreditada, garantía para las empresas</w:t>
      </w:r>
    </w:p>
    <w:p w:rsidR="006B243C" w:rsidRDefault="00414CD4">
      <w:pPr>
        <w:jc w:val="both"/>
      </w:pPr>
      <w:r>
        <w:t>Los</w:t>
      </w:r>
      <w:r>
        <w:t xml:space="preserve"> laboratorios de calibración acreditados aportan a las empresas seguridad en los resultados que les proporcionan sus equipos de medida que se utilizan en actividades claves, como controlar las variables de los procesos, asegurar la calidad o la seguridad d</w:t>
      </w:r>
      <w:r>
        <w:t xml:space="preserve">e sus productos, sus procesos o sus servicios, u obtener los datos necesarios para el análisis y la toma de decisiones importantes. Contar con laboratorios acreditados garantizará a estas empresas la trazabilidad y </w:t>
      </w:r>
    </w:p>
    <w:p w:rsidR="006B243C" w:rsidRDefault="006B243C">
      <w:pPr>
        <w:jc w:val="both"/>
      </w:pPr>
    </w:p>
    <w:p w:rsidR="006B243C" w:rsidRDefault="006B243C">
      <w:pPr>
        <w:jc w:val="both"/>
      </w:pPr>
    </w:p>
    <w:p w:rsidR="006B243C" w:rsidRDefault="00414CD4">
      <w:pPr>
        <w:jc w:val="both"/>
      </w:pPr>
      <w:r>
        <w:t>la fiabilidad de los resultados de una</w:t>
      </w:r>
      <w:r>
        <w:t xml:space="preserve"> calibración ya que la acreditación es la herramienta creada específicamente para asegurarse del cumplimiento de estos extremos. </w:t>
      </w:r>
    </w:p>
    <w:p w:rsidR="006B243C" w:rsidRDefault="006B243C">
      <w:pPr>
        <w:spacing w:after="160" w:line="240" w:lineRule="auto"/>
        <w:jc w:val="both"/>
        <w:rPr>
          <w:rFonts w:ascii="Roboto" w:eastAsia="Roboto" w:hAnsi="Roboto" w:cs="Roboto"/>
          <w:color w:val="333333"/>
          <w:sz w:val="21"/>
          <w:szCs w:val="21"/>
        </w:rPr>
      </w:pPr>
    </w:p>
    <w:p w:rsidR="006B243C" w:rsidRDefault="00414CD4">
      <w:pPr>
        <w:spacing w:after="0" w:line="240" w:lineRule="auto"/>
        <w:jc w:val="both"/>
        <w:rPr>
          <w:b/>
          <w:sz w:val="24"/>
          <w:szCs w:val="24"/>
          <w:u w:val="single"/>
        </w:rPr>
      </w:pPr>
      <w:bookmarkStart w:id="2" w:name="_30j0zll" w:colFirst="0" w:colLast="0"/>
      <w:bookmarkEnd w:id="2"/>
      <w:r>
        <w:rPr>
          <w:b/>
          <w:sz w:val="24"/>
          <w:szCs w:val="24"/>
          <w:u w:val="single"/>
        </w:rPr>
        <w:t>Sobre ENAC</w:t>
      </w:r>
    </w:p>
    <w:p w:rsidR="006B243C" w:rsidRDefault="006B243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6B243C" w:rsidRDefault="00414C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Entidad Nacional de Acreditación – ENAC – es la entidad designada por el Gobierno para operar en España como e</w:t>
      </w:r>
      <w:r>
        <w:rPr>
          <w:sz w:val="24"/>
          <w:szCs w:val="24"/>
        </w:rPr>
        <w:t xml:space="preserve">l único Organismo Nacional de Acreditación, en aplicación del Reglamento (CE)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765/2008 del Parlamento Europeo que regula el funcionamiento de la acreditación en Europa.</w:t>
      </w:r>
    </w:p>
    <w:p w:rsidR="006B243C" w:rsidRDefault="00414CD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 </w:t>
      </w:r>
    </w:p>
    <w:p w:rsidR="006B243C" w:rsidRDefault="00414C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ENAC tiene como misión generar confianza en el mercado y en la sociedad evaluando,</w:t>
      </w:r>
      <w:r>
        <w:rPr>
          <w:sz w:val="24"/>
          <w:szCs w:val="24"/>
        </w:rPr>
        <w:t xml:space="preserve"> a través de un sistema conforme a normas internacionales, la competencia técnica de laboratorios de ensayo o calibración, entidades de inspección, entidades de certificación y verificadores medioambientales que desarrollen su actividad en cualquier sector</w:t>
      </w:r>
      <w:r>
        <w:rPr>
          <w:sz w:val="24"/>
          <w:szCs w:val="24"/>
        </w:rPr>
        <w:t xml:space="preserve">: industria,  energía, medio ambiente, sanidad, alimentación, investigación, desarrollo e innovación, transportes, telecomunicaciones, turismo, servicios, construcción, etc. Contribuye, así, a la seguridad y el bienestar de las personas, la calidad de los </w:t>
      </w:r>
      <w:r>
        <w:rPr>
          <w:sz w:val="24"/>
          <w:szCs w:val="24"/>
        </w:rPr>
        <w:t>productos y servicios, la protección del medioambiente y, con ello, al aumento de la competitividad de los productos y servicios españoles y a una disminución de los costes para la sociedad debidos a estas actividades. </w:t>
      </w:r>
    </w:p>
    <w:p w:rsidR="006B243C" w:rsidRDefault="00414C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B243C" w:rsidRDefault="00414C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marca ENAC es la manera de dist</w:t>
      </w:r>
      <w:r>
        <w:rPr>
          <w:sz w:val="24"/>
          <w:szCs w:val="24"/>
        </w:rPr>
        <w:t>inguir si un certificado o informe está acreditado o no. Es la garantía de que la organización que lo emite es técnicamente competente para llevar a cabo la tarea que realiza, y lo es tanto en España como en los 100 países en los que la marca de ENAC es re</w:t>
      </w:r>
      <w:r>
        <w:rPr>
          <w:sz w:val="24"/>
          <w:szCs w:val="24"/>
        </w:rPr>
        <w:t>conocida y aceptada gracias a los acuerdos de reconocimiento que ENAC ha suscrito con las entidades de acreditación de esos países.</w:t>
      </w:r>
    </w:p>
    <w:p w:rsidR="006B243C" w:rsidRDefault="006B243C">
      <w:pPr>
        <w:spacing w:after="0" w:line="240" w:lineRule="auto"/>
        <w:jc w:val="both"/>
        <w:rPr>
          <w:sz w:val="24"/>
          <w:szCs w:val="24"/>
        </w:rPr>
      </w:pPr>
    </w:p>
    <w:p w:rsidR="006B243C" w:rsidRDefault="00414CD4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8">
        <w:r>
          <w:rPr>
            <w:color w:val="0000FF"/>
            <w:u w:val="single"/>
          </w:rPr>
          <w:t>www.enac.es</w:t>
        </w:r>
      </w:hyperlink>
      <w:r>
        <w:rPr>
          <w:color w:val="000000"/>
        </w:rPr>
        <w:t xml:space="preserve"> </w:t>
      </w:r>
    </w:p>
    <w:p w:rsidR="006B243C" w:rsidRDefault="00414CD4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3812</wp:posOffset>
            </wp:positionH>
            <wp:positionV relativeFrom="paragraph">
              <wp:posOffset>118110</wp:posOffset>
            </wp:positionV>
            <wp:extent cx="221615" cy="181610"/>
            <wp:effectExtent l="0" t="0" r="0" b="0"/>
            <wp:wrapSquare wrapText="bothSides" distT="0" distB="0" distL="114300" distR="114300"/>
            <wp:docPr id="1" name="image3.png" descr="Descripción: Resultado de imagen de icono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scripción: Resultado de imagen de icono twitte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0" b="0"/>
            <wp:wrapSquare wrapText="bothSides" distT="0" distB="0" distL="114300" distR="114300"/>
            <wp:docPr id="2" name="image2.png" descr="Descripción: Resultado de imagen de icono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pción: Resultado de imagen de icono linkedi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243C" w:rsidRDefault="006B243C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6B243C" w:rsidRDefault="006B243C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6B243C" w:rsidRDefault="006B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6B243C" w:rsidRDefault="00414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Para más información sobre la nota de prensa, resolver dudas o gestionar entrevistas</w:t>
      </w:r>
    </w:p>
    <w:p w:rsidR="006B243C" w:rsidRDefault="00414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Eva Martín</w:t>
      </w:r>
    </w:p>
    <w:p w:rsidR="006B243C" w:rsidRDefault="00414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Tfno. 628 17 49 01 /  </w:t>
      </w:r>
      <w:hyperlink r:id="rId11">
        <w:r>
          <w:rPr>
            <w:color w:val="0000FF"/>
            <w:u w:val="single"/>
          </w:rPr>
          <w:t>evamc@varenga.es</w:t>
        </w:r>
      </w:hyperlink>
    </w:p>
    <w:sectPr w:rsidR="006B243C">
      <w:head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CD4" w:rsidRDefault="00414CD4">
      <w:pPr>
        <w:spacing w:after="0" w:line="240" w:lineRule="auto"/>
      </w:pPr>
      <w:r>
        <w:separator/>
      </w:r>
    </w:p>
  </w:endnote>
  <w:endnote w:type="continuationSeparator" w:id="0">
    <w:p w:rsidR="00414CD4" w:rsidRDefault="0041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CD4" w:rsidRDefault="00414CD4">
      <w:pPr>
        <w:spacing w:after="0" w:line="240" w:lineRule="auto"/>
      </w:pPr>
      <w:r>
        <w:separator/>
      </w:r>
    </w:p>
  </w:footnote>
  <w:footnote w:type="continuationSeparator" w:id="0">
    <w:p w:rsidR="00414CD4" w:rsidRDefault="0041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43C" w:rsidRDefault="00414C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4530090</wp:posOffset>
          </wp:positionH>
          <wp:positionV relativeFrom="paragraph">
            <wp:posOffset>-101598</wp:posOffset>
          </wp:positionV>
          <wp:extent cx="1324610" cy="733425"/>
          <wp:effectExtent l="0" t="0" r="0" b="0"/>
          <wp:wrapSquare wrapText="bothSides" distT="0" distB="0" distL="114300" distR="114300"/>
          <wp:docPr id="3" name="image1.png" descr="LOGO ENAC COLOR FONDO 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ENAC COLOR FONDO TRANSPAR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243C" w:rsidRDefault="00414C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PRENSA</w:t>
    </w:r>
  </w:p>
  <w:p w:rsidR="006B243C" w:rsidRDefault="006B24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84EDB"/>
    <w:multiLevelType w:val="multilevel"/>
    <w:tmpl w:val="E8884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3C"/>
    <w:rsid w:val="00374C91"/>
    <w:rsid w:val="00414CD4"/>
    <w:rsid w:val="006B243C"/>
    <w:rsid w:val="00D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4A298-7652-40F9-80F6-5D4993FE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c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ac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mc@varenga.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Pacheco Alonso</dc:creator>
  <cp:lastModifiedBy>Soledad Pacheco Alonso</cp:lastModifiedBy>
  <cp:revision>2</cp:revision>
  <dcterms:created xsi:type="dcterms:W3CDTF">2020-05-19T11:30:00Z</dcterms:created>
  <dcterms:modified xsi:type="dcterms:W3CDTF">2020-05-19T11:30:00Z</dcterms:modified>
</cp:coreProperties>
</file>