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C2EC" w14:textId="77777777" w:rsidR="00047B82" w:rsidRDefault="00047B82">
      <w:pPr>
        <w:shd w:val="clear" w:color="auto" w:fill="FFFFFF"/>
        <w:jc w:val="center"/>
        <w:rPr>
          <w:rFonts w:ascii="Roboto" w:eastAsia="Roboto" w:hAnsi="Roboto" w:cs="Roboto"/>
          <w:b/>
          <w:sz w:val="34"/>
          <w:szCs w:val="34"/>
        </w:rPr>
      </w:pPr>
    </w:p>
    <w:p w14:paraId="5C2EC2ED" w14:textId="77777777" w:rsidR="00047B82" w:rsidRDefault="00B62D00">
      <w:pPr>
        <w:spacing w:after="160" w:line="259" w:lineRule="auto"/>
        <w:jc w:val="center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</w:rPr>
        <w:t xml:space="preserve">TEDAE renueva la autorización a ENAC para la acreditación de entidades conforme al esquema ICOP de certificación del sector aeroespacial </w:t>
      </w:r>
    </w:p>
    <w:p w14:paraId="5C2EC2EE" w14:textId="7E1CFFC0" w:rsidR="00047B82" w:rsidRDefault="00B62D00">
      <w:pPr>
        <w:numPr>
          <w:ilvl w:val="0"/>
          <w:numId w:val="1"/>
        </w:numPr>
        <w:spacing w:before="240"/>
        <w:ind w:left="108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Esta renovación se basa en los nuevos requisitos exigidos en</w:t>
      </w:r>
      <w:r w:rsidR="000070F1">
        <w:rPr>
          <w:rFonts w:ascii="Roboto" w:eastAsia="Roboto" w:hAnsi="Roboto" w:cs="Roboto"/>
          <w:b/>
          <w:sz w:val="22"/>
          <w:szCs w:val="22"/>
        </w:rPr>
        <w:t xml:space="preserve"> la</w:t>
      </w:r>
      <w:r>
        <w:rPr>
          <w:rFonts w:ascii="Roboto" w:eastAsia="Roboto" w:hAnsi="Roboto" w:cs="Roboto"/>
          <w:b/>
          <w:sz w:val="22"/>
          <w:szCs w:val="22"/>
        </w:rPr>
        <w:t xml:space="preserve"> recientemente reformada norma ISO 9104-1</w:t>
      </w:r>
    </w:p>
    <w:p w14:paraId="5C2EC2EF" w14:textId="79D7AE04" w:rsidR="00047B82" w:rsidRDefault="00B62D00">
      <w:pPr>
        <w:numPr>
          <w:ilvl w:val="0"/>
          <w:numId w:val="1"/>
        </w:numPr>
        <w:spacing w:before="240"/>
        <w:ind w:left="1080"/>
        <w:jc w:val="both"/>
        <w:rPr>
          <w:rFonts w:ascii="Roboto" w:eastAsia="Roboto" w:hAnsi="Roboto" w:cs="Roboto"/>
          <w:sz w:val="22"/>
          <w:szCs w:val="22"/>
        </w:rPr>
      </w:pPr>
      <w:r w:rsidRPr="24A58E5E">
        <w:rPr>
          <w:rFonts w:ascii="Roboto" w:eastAsia="Roboto" w:hAnsi="Roboto" w:cs="Roboto"/>
          <w:b/>
          <w:bCs/>
          <w:sz w:val="22"/>
          <w:szCs w:val="22"/>
        </w:rPr>
        <w:t>Para que una entidad pueda certificar en base al esquema ICOP, es necesario que, previamente, haya obtenido la acreditación de ENAC</w:t>
      </w:r>
    </w:p>
    <w:p w14:paraId="5C2EC2F0" w14:textId="77777777" w:rsidR="00047B82" w:rsidRDefault="00047B82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5C2EC2F1" w14:textId="129CBC34" w:rsidR="00047B82" w:rsidRDefault="00B62D00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</w:t>
      </w:r>
      <w:r w:rsidR="00E94EF2" w:rsidRPr="00E94EF2">
        <w:rPr>
          <w:rFonts w:ascii="Roboto" w:eastAsia="Roboto" w:hAnsi="Roboto" w:cs="Roboto"/>
          <w:sz w:val="22"/>
          <w:szCs w:val="22"/>
        </w:rPr>
        <w:t>16 de</w:t>
      </w:r>
      <w:r>
        <w:rPr>
          <w:rFonts w:ascii="Roboto" w:eastAsia="Roboto" w:hAnsi="Roboto" w:cs="Roboto"/>
          <w:sz w:val="22"/>
          <w:szCs w:val="22"/>
        </w:rPr>
        <w:t xml:space="preserve"> noviembre de 2022. –</w:t>
      </w:r>
      <w:r w:rsidR="00CC30FA"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2"/>
          <w:id w:val="-1081449059"/>
        </w:sdtPr>
        <w:sdtEndPr/>
        <w:sdtContent>
          <w:r>
            <w:rPr>
              <w:rFonts w:ascii="Roboto" w:eastAsia="Roboto" w:hAnsi="Roboto" w:cs="Roboto"/>
              <w:sz w:val="22"/>
              <w:szCs w:val="22"/>
            </w:rPr>
            <w:t>L</w:t>
          </w:r>
        </w:sdtContent>
      </w:sdt>
      <w:r>
        <w:rPr>
          <w:rFonts w:ascii="Roboto" w:eastAsia="Roboto" w:hAnsi="Roboto" w:cs="Roboto"/>
          <w:sz w:val="22"/>
          <w:szCs w:val="22"/>
        </w:rPr>
        <w:t>a A</w:t>
      </w:r>
      <w:r>
        <w:rPr>
          <w:rFonts w:ascii="Roboto" w:eastAsia="Roboto" w:hAnsi="Roboto" w:cs="Roboto"/>
          <w:b/>
          <w:sz w:val="22"/>
          <w:szCs w:val="22"/>
        </w:rPr>
        <w:t>sociación Española de Empresas Tecnológicas de Defensa, Seguridad, Aeronáutica y Espacio</w:t>
      </w:r>
      <w:sdt>
        <w:sdtPr>
          <w:tag w:val="goog_rdk_3"/>
          <w:id w:val="-1553841250"/>
        </w:sdtPr>
        <w:sdtEndPr/>
        <w:sdtContent>
          <w:r>
            <w:rPr>
              <w:rFonts w:ascii="Roboto" w:eastAsia="Roboto" w:hAnsi="Roboto" w:cs="Roboto"/>
              <w:sz w:val="22"/>
              <w:szCs w:val="22"/>
            </w:rPr>
            <w:t xml:space="preserve"> </w:t>
          </w:r>
          <w:hyperlink r:id="rId11" w:history="1">
            <w:r>
              <w:rPr>
                <w:rFonts w:ascii="Roboto" w:eastAsia="Roboto" w:hAnsi="Roboto" w:cs="Roboto"/>
                <w:sz w:val="22"/>
                <w:szCs w:val="22"/>
              </w:rPr>
              <w:t>TEDAE</w:t>
            </w:r>
          </w:hyperlink>
        </w:sdtContent>
      </w:sdt>
      <w:r>
        <w:rPr>
          <w:rFonts w:ascii="Roboto" w:eastAsia="Roboto" w:hAnsi="Roboto" w:cs="Roboto"/>
          <w:sz w:val="22"/>
          <w:szCs w:val="22"/>
        </w:rPr>
        <w:t xml:space="preserve">, ha renovado la autorización a </w:t>
      </w:r>
      <w:r>
        <w:rPr>
          <w:rFonts w:ascii="Roboto" w:eastAsia="Roboto" w:hAnsi="Roboto" w:cs="Roboto"/>
          <w:b/>
          <w:sz w:val="22"/>
          <w:szCs w:val="22"/>
        </w:rPr>
        <w:t xml:space="preserve">ENAC </w:t>
      </w:r>
      <w:r>
        <w:rPr>
          <w:rFonts w:ascii="Roboto" w:eastAsia="Roboto" w:hAnsi="Roboto" w:cs="Roboto"/>
          <w:sz w:val="22"/>
          <w:szCs w:val="22"/>
        </w:rPr>
        <w:t xml:space="preserve">como el </w:t>
      </w:r>
      <w:r>
        <w:rPr>
          <w:rFonts w:ascii="Roboto" w:eastAsia="Roboto" w:hAnsi="Roboto" w:cs="Roboto"/>
          <w:b/>
          <w:sz w:val="22"/>
          <w:szCs w:val="22"/>
        </w:rPr>
        <w:t>único organismo en España</w:t>
      </w:r>
      <w:r>
        <w:rPr>
          <w:rFonts w:ascii="Roboto" w:eastAsia="Roboto" w:hAnsi="Roboto" w:cs="Roboto"/>
          <w:sz w:val="22"/>
          <w:szCs w:val="22"/>
        </w:rPr>
        <w:t xml:space="preserve"> habilitado</w:t>
      </w:r>
      <w:r>
        <w:rPr>
          <w:rFonts w:ascii="Roboto" w:eastAsia="Roboto" w:hAnsi="Roboto" w:cs="Roboto"/>
          <w:b/>
          <w:sz w:val="22"/>
          <w:szCs w:val="22"/>
        </w:rPr>
        <w:t xml:space="preserve"> para acreditar a las entidades de certificación que operan en el marco del esquema de certificación del sector aeroespacial ICOP</w:t>
      </w:r>
      <w:r>
        <w:rPr>
          <w:rFonts w:ascii="Roboto" w:eastAsia="Roboto" w:hAnsi="Roboto" w:cs="Roboto"/>
          <w:sz w:val="22"/>
          <w:szCs w:val="22"/>
        </w:rPr>
        <w:t xml:space="preserve"> (Industry Controlled Other Party)</w:t>
      </w:r>
      <w:sdt>
        <w:sdtPr>
          <w:tag w:val="goog_rdk_7"/>
          <w:id w:val="1246687106"/>
        </w:sdtPr>
        <w:sdtEndPr/>
        <w:sdtContent>
          <w:r>
            <w:rPr>
              <w:rFonts w:ascii="Roboto" w:eastAsia="Roboto" w:hAnsi="Roboto" w:cs="Roboto"/>
              <w:sz w:val="22"/>
              <w:szCs w:val="22"/>
            </w:rPr>
            <w:t>;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 en concreto</w:t>
      </w:r>
      <w:sdt>
        <w:sdtPr>
          <w:tag w:val="goog_rdk_9"/>
          <w:id w:val="26619664"/>
        </w:sdtPr>
        <w:sdtEndPr/>
        <w:sdtContent>
          <w:r>
            <w:rPr>
              <w:rFonts w:ascii="Roboto" w:eastAsia="Roboto" w:hAnsi="Roboto" w:cs="Roboto"/>
              <w:sz w:val="22"/>
              <w:szCs w:val="22"/>
            </w:rPr>
            <w:t>,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 en base a los </w:t>
      </w:r>
      <w:r>
        <w:rPr>
          <w:rFonts w:ascii="Roboto" w:eastAsia="Roboto" w:hAnsi="Roboto" w:cs="Roboto"/>
          <w:b/>
          <w:sz w:val="22"/>
          <w:szCs w:val="22"/>
        </w:rPr>
        <w:t>nuevos requisitos</w:t>
      </w:r>
      <w:r>
        <w:rPr>
          <w:rFonts w:ascii="Roboto" w:eastAsia="Roboto" w:hAnsi="Roboto" w:cs="Roboto"/>
          <w:sz w:val="22"/>
          <w:szCs w:val="22"/>
        </w:rPr>
        <w:t xml:space="preserve"> exigidos en la norma </w:t>
      </w:r>
      <w:r>
        <w:rPr>
          <w:rFonts w:ascii="Roboto" w:eastAsia="Roboto" w:hAnsi="Roboto" w:cs="Roboto"/>
          <w:b/>
          <w:sz w:val="22"/>
          <w:szCs w:val="22"/>
        </w:rPr>
        <w:t>ISO 9104-1</w:t>
      </w:r>
      <w:r>
        <w:rPr>
          <w:rFonts w:ascii="Roboto" w:eastAsia="Roboto" w:hAnsi="Roboto" w:cs="Roboto"/>
          <w:sz w:val="22"/>
          <w:szCs w:val="22"/>
        </w:rPr>
        <w:t>, recientemente reformada</w:t>
      </w:r>
      <w:sdt>
        <w:sdtPr>
          <w:tag w:val="goog_rdk_10"/>
          <w:id w:val="-943456714"/>
        </w:sdtPr>
        <w:sdtEndPr/>
        <w:sdtContent>
          <w:r>
            <w:rPr>
              <w:rFonts w:ascii="Roboto" w:eastAsia="Roboto" w:hAnsi="Roboto" w:cs="Roboto"/>
              <w:sz w:val="22"/>
              <w:szCs w:val="22"/>
            </w:rPr>
            <w:t>,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 con el objetivo reforzar la alineación entre la industria y las exigencias actuales para la certificación de sistemas de gestión de </w:t>
      </w:r>
      <w:hyperlink r:id="rId12"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IAF</w:t>
        </w:r>
      </w:hyperlink>
      <w:r>
        <w:rPr>
          <w:rFonts w:ascii="Roboto" w:eastAsia="Roboto" w:hAnsi="Roboto" w:cs="Roboto"/>
          <w:sz w:val="22"/>
          <w:szCs w:val="22"/>
        </w:rPr>
        <w:t>, la organización internacional de acreditadores en materia de certificación.</w:t>
      </w:r>
    </w:p>
    <w:p w14:paraId="5C2EC2F2" w14:textId="77777777" w:rsidR="00047B82" w:rsidRDefault="00047B82">
      <w:pPr>
        <w:jc w:val="both"/>
        <w:rPr>
          <w:rFonts w:ascii="Roboto" w:eastAsia="Roboto" w:hAnsi="Roboto" w:cs="Roboto"/>
          <w:sz w:val="22"/>
          <w:szCs w:val="22"/>
        </w:rPr>
      </w:pPr>
    </w:p>
    <w:p w14:paraId="5C2EC2F3" w14:textId="77777777" w:rsidR="00047B82" w:rsidRDefault="00B62D00">
      <w:pPr>
        <w:spacing w:after="160" w:line="259" w:lineRule="auto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 este sentido, como viene sucediendo desde que la industria aeroespacial designó por primera vez a ENAC en 2002, </w:t>
      </w:r>
      <w:r>
        <w:rPr>
          <w:rFonts w:ascii="Roboto" w:eastAsia="Roboto" w:hAnsi="Roboto" w:cs="Roboto"/>
          <w:b/>
          <w:sz w:val="22"/>
          <w:szCs w:val="22"/>
        </w:rPr>
        <w:t>para que una entidad pueda certificar en base al esquema ICOP, es necesario</w:t>
      </w:r>
      <w:r>
        <w:rPr>
          <w:rFonts w:ascii="Roboto" w:eastAsia="Roboto" w:hAnsi="Roboto" w:cs="Roboto"/>
          <w:sz w:val="22"/>
          <w:szCs w:val="22"/>
        </w:rPr>
        <w:t xml:space="preserve"> que haya superado el proceso de evaluación de ENAC y, por tanto, </w:t>
      </w:r>
      <w:r>
        <w:rPr>
          <w:rFonts w:ascii="Roboto" w:eastAsia="Roboto" w:hAnsi="Roboto" w:cs="Roboto"/>
          <w:b/>
          <w:sz w:val="22"/>
          <w:szCs w:val="22"/>
        </w:rPr>
        <w:t>haya obtenido la pertinente acreditación.</w:t>
      </w:r>
    </w:p>
    <w:p w14:paraId="5C2EC2F4" w14:textId="77777777" w:rsidR="00047B82" w:rsidRDefault="00B62D00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Con esta renovación, se pone de manifiesto, una vez más, el compromiso de ENAC con el esquema de certificación aeroespacial en su objetivo de transmitir confianza a las industrias de la Aviación, el Espacio y la Defensa sobre la competencia de las certificadoras acreditadas para evaluar la conformidad de los sistemas de gestión de la calidad aeroespacial (AQMS - Aerospace Quality Management System).</w:t>
      </w:r>
    </w:p>
    <w:sdt>
      <w:sdtPr>
        <w:tag w:val="goog_rdk_13"/>
        <w:id w:val="-2099551006"/>
      </w:sdtPr>
      <w:sdtEndPr/>
      <w:sdtContent>
        <w:p w14:paraId="5C2EC2F6" w14:textId="6E72F47A" w:rsidR="00047B82" w:rsidRDefault="009A4289">
          <w:pPr>
            <w:jc w:val="both"/>
            <w:rPr>
              <w:rFonts w:ascii="Roboto" w:eastAsia="Roboto" w:hAnsi="Roboto" w:cs="Roboto"/>
              <w:sz w:val="22"/>
              <w:szCs w:val="22"/>
            </w:rPr>
          </w:pPr>
          <w:sdt>
            <w:sdtPr>
              <w:tag w:val="goog_rdk_12"/>
              <w:id w:val="-891413497"/>
              <w:showingPlcHdr/>
            </w:sdtPr>
            <w:sdtEndPr/>
            <w:sdtContent>
              <w:r w:rsidR="00CC30FA">
                <w:t xml:space="preserve">     </w:t>
              </w:r>
            </w:sdtContent>
          </w:sdt>
        </w:p>
      </w:sdtContent>
    </w:sdt>
    <w:p w14:paraId="5C2EC2F7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C2EC2F8" w14:textId="77777777" w:rsidR="00047B82" w:rsidRDefault="00047B82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C2EC2F9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>designada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>por el Gobierno para operar en España como el único Organismo Nacional de Acreditación, en aplicación del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>Reglamento (CE) nº765/2008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>del Parlamento Europeo que regula el funcionamiento de la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>acreditación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 xml:space="preserve">en Europa. </w:t>
      </w:r>
    </w:p>
    <w:p w14:paraId="5C2EC2FA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 </w:t>
      </w:r>
      <w:r>
        <w:rPr>
          <w:rFonts w:ascii="Roboto" w:eastAsia="Roboto" w:hAnsi="Roboto" w:cs="Roboto"/>
          <w:color w:val="1F497D"/>
          <w:sz w:val="22"/>
          <w:szCs w:val="22"/>
        </w:rPr>
        <w:t xml:space="preserve"> </w:t>
      </w:r>
    </w:p>
    <w:p w14:paraId="5C2EC2FB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 xml:space="preserve"> energía, medio ambiente, sanidad, alimentación, investigación, desarrollo e innovación, transportes, telecomunicaciones, turismo, servicios, construcción, etc.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>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</w:t>
      </w: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5C2EC2FC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5C2EC2FD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 </w:t>
      </w:r>
    </w:p>
    <w:p w14:paraId="5C2EC2FE" w14:textId="77777777" w:rsidR="00047B82" w:rsidRDefault="00B62D00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5C2EC2FF" w14:textId="77777777" w:rsidR="00047B82" w:rsidRDefault="009A4289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 w:rsidR="00B62D00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B62D00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C2EC300" w14:textId="77777777" w:rsidR="00047B82" w:rsidRDefault="00047B8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C2EC301" w14:textId="77777777" w:rsidR="00047B82" w:rsidRDefault="00B62D00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C2EC30B" wp14:editId="5C2EC30C">
            <wp:extent cx="304800" cy="3048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C2EC30D" wp14:editId="5C2EC30E">
            <wp:extent cx="304800" cy="3048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2EC302" w14:textId="77777777" w:rsidR="00047B82" w:rsidRDefault="00047B8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C2EC303" w14:textId="77777777" w:rsidR="00047B82" w:rsidRDefault="00047B82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C2EC304" w14:textId="77777777" w:rsidR="00047B82" w:rsidRDefault="00B62D00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5C2EC305" w14:textId="77777777" w:rsidR="00047B82" w:rsidRDefault="00B62D00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5C2EC306" w14:textId="77777777" w:rsidR="00047B82" w:rsidRDefault="00B62D00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5C2EC307" w14:textId="77777777" w:rsidR="00047B82" w:rsidRDefault="00047B82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5C2EC308" w14:textId="77777777" w:rsidR="00047B82" w:rsidRDefault="00047B82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C2EC309" w14:textId="77777777" w:rsidR="00047B82" w:rsidRDefault="00047B82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C2EC30A" w14:textId="77777777" w:rsidR="00047B82" w:rsidRDefault="00047B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047B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25FF" w14:textId="77777777" w:rsidR="00774462" w:rsidRDefault="00774462">
      <w:r>
        <w:separator/>
      </w:r>
    </w:p>
  </w:endnote>
  <w:endnote w:type="continuationSeparator" w:id="0">
    <w:p w14:paraId="4B1B6D5F" w14:textId="77777777" w:rsidR="00774462" w:rsidRDefault="00774462">
      <w:r>
        <w:continuationSeparator/>
      </w:r>
    </w:p>
  </w:endnote>
  <w:endnote w:type="continuationNotice" w:id="1">
    <w:p w14:paraId="023CF822" w14:textId="77777777" w:rsidR="00774462" w:rsidRDefault="00774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C313" w14:textId="77777777" w:rsidR="00047B82" w:rsidRDefault="00047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C314" w14:textId="1886A92A" w:rsidR="00047B82" w:rsidRDefault="00B62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Roboto" w:eastAsia="Roboto" w:hAnsi="Roboto" w:cs="Roboto"/>
        <w:color w:val="000000"/>
        <w:sz w:val="20"/>
        <w:szCs w:val="20"/>
      </w:rPr>
    </w:pPr>
    <w:r>
      <w:rPr>
        <w:rFonts w:ascii="Roboto" w:eastAsia="Roboto" w:hAnsi="Roboto" w:cs="Roboto"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color w:val="000000"/>
        <w:sz w:val="20"/>
        <w:szCs w:val="20"/>
      </w:rPr>
      <w:fldChar w:fldCharType="separate"/>
    </w:r>
    <w:r w:rsidR="000070F1">
      <w:rPr>
        <w:rFonts w:ascii="Roboto" w:eastAsia="Roboto" w:hAnsi="Roboto" w:cs="Roboto"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color w:val="000000"/>
        <w:sz w:val="20"/>
        <w:szCs w:val="20"/>
      </w:rPr>
      <w:fldChar w:fldCharType="end"/>
    </w:r>
  </w:p>
  <w:p w14:paraId="5C2EC315" w14:textId="77777777" w:rsidR="00047B82" w:rsidRDefault="00047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C317" w14:textId="77777777" w:rsidR="00047B82" w:rsidRDefault="00047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239C" w14:textId="77777777" w:rsidR="00774462" w:rsidRDefault="00774462">
      <w:r>
        <w:separator/>
      </w:r>
    </w:p>
  </w:footnote>
  <w:footnote w:type="continuationSeparator" w:id="0">
    <w:p w14:paraId="5C118C1A" w14:textId="77777777" w:rsidR="00774462" w:rsidRDefault="00774462">
      <w:r>
        <w:continuationSeparator/>
      </w:r>
    </w:p>
  </w:footnote>
  <w:footnote w:type="continuationNotice" w:id="1">
    <w:p w14:paraId="20FD166C" w14:textId="77777777" w:rsidR="00774462" w:rsidRDefault="00774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C30F" w14:textId="77777777" w:rsidR="00047B82" w:rsidRDefault="00047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C310" w14:textId="77777777" w:rsidR="00047B82" w:rsidRDefault="00B62D00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2EC318" wp14:editId="5C2EC319">
          <wp:simplePos x="0" y="0"/>
          <wp:positionH relativeFrom="column">
            <wp:posOffset>4114800</wp:posOffset>
          </wp:positionH>
          <wp:positionV relativeFrom="paragraph">
            <wp:posOffset>-304794</wp:posOffset>
          </wp:positionV>
          <wp:extent cx="1547842" cy="997267"/>
          <wp:effectExtent l="0" t="0" r="0" b="0"/>
          <wp:wrapSquare wrapText="bothSides" distT="114300" distB="11430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2EC311" w14:textId="77777777" w:rsidR="00047B82" w:rsidRDefault="00B62D00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5C2EC312" w14:textId="77777777" w:rsidR="00047B82" w:rsidRDefault="00047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C316" w14:textId="77777777" w:rsidR="00047B82" w:rsidRDefault="00047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B24"/>
    <w:multiLevelType w:val="multilevel"/>
    <w:tmpl w:val="DDDCE3E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188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82"/>
    <w:rsid w:val="000070F1"/>
    <w:rsid w:val="00047B82"/>
    <w:rsid w:val="001E2AC4"/>
    <w:rsid w:val="005B478F"/>
    <w:rsid w:val="00774462"/>
    <w:rsid w:val="009A4289"/>
    <w:rsid w:val="00A57EA1"/>
    <w:rsid w:val="00B62D00"/>
    <w:rsid w:val="00CC30FA"/>
    <w:rsid w:val="00E81EF1"/>
    <w:rsid w:val="00E94EF2"/>
    <w:rsid w:val="24A5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C2EC"/>
  <w15:docId w15:val="{682F3D7C-5F9B-4633-94D1-BD427F05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825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11582"/>
  </w:style>
  <w:style w:type="paragraph" w:styleId="Encabezado">
    <w:name w:val="header"/>
    <w:basedOn w:val="Normal"/>
    <w:link w:val="EncabezadoCar"/>
    <w:uiPriority w:val="99"/>
    <w:semiHidden/>
    <w:unhideWhenUsed/>
    <w:rsid w:val="00731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1D12"/>
  </w:style>
  <w:style w:type="paragraph" w:styleId="Piedepgina">
    <w:name w:val="footer"/>
    <w:basedOn w:val="Normal"/>
    <w:link w:val="PiedepginaCar"/>
    <w:uiPriority w:val="99"/>
    <w:semiHidden/>
    <w:unhideWhenUsed/>
    <w:rsid w:val="00731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1D12"/>
  </w:style>
  <w:style w:type="character" w:styleId="Refdecomentario">
    <w:name w:val="annotation reference"/>
    <w:basedOn w:val="Fuentedeprrafopredeter"/>
    <w:uiPriority w:val="99"/>
    <w:semiHidden/>
    <w:unhideWhenUsed/>
    <w:rsid w:val="00731D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1D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1D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D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D12"/>
    <w:rPr>
      <w:b/>
      <w:bCs/>
      <w:sz w:val="20"/>
      <w:szCs w:val="20"/>
    </w:rPr>
  </w:style>
  <w:style w:type="table" w:customStyle="1" w:styleId="TableNormal1">
    <w:name w:val="Table Normal1"/>
    <w:rsid w:val="00F340F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c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af.nu/en/hom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dae.org/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oRCJHHbzE4KnROhUCuVEjmvTQ==">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DC229C29-2D5F-4333-B902-82F47C041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1D9F8-667F-4485-A7C2-10FF5C3E8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07184D-6BB1-4B08-BD13-40EA5048A859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Gonzalez Fernandez</dc:creator>
  <cp:lastModifiedBy>Denise Diaz Pozo</cp:lastModifiedBy>
  <cp:revision>7</cp:revision>
  <dcterms:created xsi:type="dcterms:W3CDTF">2022-11-02T09:39:00Z</dcterms:created>
  <dcterms:modified xsi:type="dcterms:W3CDTF">2022-11-17T07:49:00Z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