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4F68" w14:textId="77777777" w:rsidR="001C5A58" w:rsidRDefault="001C5A58" w:rsidP="001C5A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AAE550" w14:textId="77777777" w:rsidR="006C22E2" w:rsidRDefault="006C22E2" w:rsidP="004F59CA">
      <w:pPr>
        <w:pStyle w:val="Sinespaciado"/>
        <w:jc w:val="center"/>
        <w:rPr>
          <w:rFonts w:asciiTheme="minorHAnsi" w:hAnsiTheme="minorHAnsi"/>
          <w:b/>
          <w:sz w:val="36"/>
          <w:szCs w:val="36"/>
        </w:rPr>
      </w:pPr>
    </w:p>
    <w:p w14:paraId="245B747B" w14:textId="32B80B2F" w:rsidR="00B44435" w:rsidRPr="00B44435" w:rsidRDefault="00B44435" w:rsidP="00B44435">
      <w:pPr>
        <w:pStyle w:val="Sinespaciado"/>
        <w:jc w:val="center"/>
        <w:rPr>
          <w:rFonts w:asciiTheme="minorHAnsi" w:hAnsiTheme="minorHAnsi"/>
          <w:b/>
          <w:sz w:val="40"/>
          <w:szCs w:val="40"/>
        </w:rPr>
      </w:pPr>
      <w:r w:rsidRPr="00B44435">
        <w:rPr>
          <w:rFonts w:asciiTheme="minorHAnsi" w:hAnsiTheme="minorHAnsi"/>
          <w:b/>
          <w:sz w:val="40"/>
          <w:szCs w:val="40"/>
        </w:rPr>
        <w:t>Tecnalia, primer laboratorio acreditado por ENAC para ensayos a gran escala de comportamiento frente a incendio en fachadas</w:t>
      </w:r>
    </w:p>
    <w:p w14:paraId="5F2B396C" w14:textId="77777777" w:rsidR="0010624D" w:rsidRPr="00B44435" w:rsidRDefault="0010624D" w:rsidP="00B44435">
      <w:pPr>
        <w:jc w:val="center"/>
        <w:rPr>
          <w:rFonts w:asciiTheme="minorHAnsi" w:hAnsiTheme="minorHAnsi"/>
          <w:b/>
          <w:bCs/>
          <w:color w:val="212121"/>
          <w:sz w:val="40"/>
          <w:szCs w:val="40"/>
          <w:shd w:val="clear" w:color="auto" w:fill="FFFFFF"/>
        </w:rPr>
      </w:pPr>
    </w:p>
    <w:p w14:paraId="432B89B5" w14:textId="46BC0AC1" w:rsidR="009F521B" w:rsidRPr="00286387" w:rsidRDefault="009F521B" w:rsidP="00805354">
      <w:pPr>
        <w:pStyle w:val="Prrafodelista"/>
        <w:numPr>
          <w:ilvl w:val="0"/>
          <w:numId w:val="22"/>
        </w:numPr>
        <w:spacing w:after="24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El laboratorio de Tecnalia, ubicado en San Sebastián, se convierte el primero en </w:t>
      </w:r>
      <w:r w:rsidRPr="00286387">
        <w:rPr>
          <w:rFonts w:asciiTheme="minorHAnsi" w:hAnsiTheme="minorHAnsi" w:cs="Arial"/>
          <w:b/>
          <w:sz w:val="22"/>
          <w:szCs w:val="22"/>
        </w:rPr>
        <w:t xml:space="preserve">recibir esta acreditación </w:t>
      </w:r>
    </w:p>
    <w:p w14:paraId="43A85A3F" w14:textId="77777777" w:rsidR="00563C99" w:rsidRPr="00286387" w:rsidRDefault="00563C99" w:rsidP="00563C99">
      <w:pPr>
        <w:pStyle w:val="Sinespaciado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86387">
        <w:rPr>
          <w:rFonts w:asciiTheme="minorHAnsi" w:hAnsiTheme="minorHAnsi"/>
          <w:b/>
          <w:sz w:val="22"/>
          <w:szCs w:val="22"/>
        </w:rPr>
        <w:t>“Cada vez es más habitual que los prescriptores y proyectistas soliciten ensayos realizados por entidades acreditadas, con el objetivo de obtener resultados más confiables y reducir los riesgos”, destaca Xabier Olano, Responsable del Laboratorio</w:t>
      </w:r>
    </w:p>
    <w:p w14:paraId="781622A9" w14:textId="7533CC22" w:rsidR="00091E92" w:rsidRPr="00286387" w:rsidRDefault="00091E92" w:rsidP="0010624D">
      <w:pPr>
        <w:jc w:val="center"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2863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358DDBA" w14:textId="68172054" w:rsidR="00805354" w:rsidRPr="00286387" w:rsidRDefault="00805354" w:rsidP="00805354">
      <w:pPr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286387">
        <w:rPr>
          <w:rFonts w:asciiTheme="minorHAnsi" w:hAnsiTheme="minorHAnsi"/>
          <w:sz w:val="22"/>
          <w:szCs w:val="22"/>
        </w:rPr>
        <w:t>0</w:t>
      </w:r>
      <w:r w:rsidR="00286387">
        <w:rPr>
          <w:rFonts w:asciiTheme="minorHAnsi" w:hAnsiTheme="minorHAnsi"/>
          <w:sz w:val="22"/>
          <w:szCs w:val="22"/>
        </w:rPr>
        <w:t>4</w:t>
      </w:r>
      <w:bookmarkStart w:id="0" w:name="_GoBack"/>
      <w:bookmarkEnd w:id="0"/>
      <w:r w:rsidRPr="00286387">
        <w:rPr>
          <w:rFonts w:asciiTheme="minorHAnsi" w:hAnsiTheme="minorHAnsi"/>
          <w:sz w:val="22"/>
          <w:szCs w:val="22"/>
        </w:rPr>
        <w:t xml:space="preserve"> de octubre</w:t>
      </w:r>
      <w:r w:rsidR="00091E92" w:rsidRPr="00286387">
        <w:rPr>
          <w:rFonts w:asciiTheme="minorHAnsi" w:hAnsiTheme="minorHAnsi"/>
          <w:sz w:val="22"/>
          <w:szCs w:val="22"/>
        </w:rPr>
        <w:t xml:space="preserve"> de 2018.- </w:t>
      </w:r>
      <w:r w:rsidRPr="00286387">
        <w:rPr>
          <w:rFonts w:asciiTheme="minorHAnsi" w:hAnsiTheme="minorHAnsi"/>
          <w:sz w:val="22"/>
          <w:szCs w:val="22"/>
        </w:rPr>
        <w:t xml:space="preserve">La </w:t>
      </w:r>
      <w:r w:rsidRPr="00286387">
        <w:rPr>
          <w:rFonts w:asciiTheme="minorHAnsi" w:hAnsiTheme="minorHAnsi"/>
          <w:b/>
          <w:sz w:val="22"/>
          <w:szCs w:val="22"/>
        </w:rPr>
        <w:t>Entidad Nacional de Acreditación</w:t>
      </w:r>
      <w:r w:rsidRPr="00286387">
        <w:rPr>
          <w:rFonts w:asciiTheme="minorHAnsi" w:hAnsiTheme="minorHAnsi"/>
          <w:sz w:val="22"/>
          <w:szCs w:val="22"/>
        </w:rPr>
        <w:t xml:space="preserve"> (ENAC) ha concedido a Tecnalia la primera acreditación para realizar los ensayos </w:t>
      </w:r>
      <w:r w:rsidRPr="00286387">
        <w:rPr>
          <w:rFonts w:asciiTheme="minorHAnsi" w:hAnsiTheme="minorHAnsi" w:cs="Arial"/>
          <w:sz w:val="22"/>
          <w:szCs w:val="22"/>
        </w:rPr>
        <w:t xml:space="preserve">contemplados en la norma BS 8414, relativa a la </w:t>
      </w:r>
      <w:r w:rsidRPr="00286387">
        <w:rPr>
          <w:rFonts w:asciiTheme="minorHAnsi" w:hAnsiTheme="minorHAnsi" w:cs="Arial"/>
          <w:b/>
          <w:sz w:val="22"/>
          <w:szCs w:val="22"/>
        </w:rPr>
        <w:t>propagación de incendios en la fachada de los edificios</w:t>
      </w:r>
      <w:r w:rsidRPr="00286387">
        <w:rPr>
          <w:rFonts w:asciiTheme="minorHAnsi" w:hAnsiTheme="minorHAnsi" w:cs="Arial"/>
          <w:sz w:val="22"/>
          <w:szCs w:val="22"/>
        </w:rPr>
        <w:t>. Estos ensayos permiten determinar el comportamiento del fuego en un incendio, ocasionado por una fuente externa del edificio o desarrollado en el interior de una habitación.</w:t>
      </w:r>
    </w:p>
    <w:p w14:paraId="633F2181" w14:textId="5991D29B" w:rsidR="00805354" w:rsidRPr="00286387" w:rsidRDefault="00805354" w:rsidP="00805354">
      <w:pPr>
        <w:spacing w:after="150"/>
        <w:jc w:val="both"/>
        <w:rPr>
          <w:rFonts w:asciiTheme="minorHAnsi" w:hAnsiTheme="minorHAnsi" w:cs="Arial"/>
          <w:sz w:val="22"/>
          <w:szCs w:val="22"/>
        </w:rPr>
      </w:pPr>
      <w:r w:rsidRPr="00286387">
        <w:rPr>
          <w:rFonts w:asciiTheme="minorHAnsi" w:hAnsiTheme="minorHAnsi" w:cs="Arial"/>
          <w:sz w:val="22"/>
          <w:szCs w:val="22"/>
        </w:rPr>
        <w:t>Xabier Olano, Responsable del Laboratorio de Seguridad Estructural y Frente a Incendio de Tecnalia, señala que una de las razones que les ha llevado a obtener esta nueva acreditación es “generar una mayor confianza en nuestros clientes, puesto que la acreditación significa que tanto la ejecución, equipamiento y documentación del ensayo, así como la cualificación del personal, son revisados, validados y controlados periódicamente por ENAC”. De hecho, añade el responsable de Tecnalia, “cada vez es más habitual que los prescriptores y proyectistas soliciten ensayos realizados por entidades acreditadas, con el objetivo de obtener resultados más confiables y reducir los riesgos”.</w:t>
      </w:r>
    </w:p>
    <w:p w14:paraId="07F53226" w14:textId="4A49578E" w:rsidR="00805354" w:rsidRPr="00286387" w:rsidRDefault="00805354" w:rsidP="00805354">
      <w:pPr>
        <w:spacing w:after="150"/>
        <w:jc w:val="both"/>
        <w:rPr>
          <w:rFonts w:asciiTheme="minorHAnsi" w:hAnsiTheme="minorHAnsi" w:cs="Arial"/>
          <w:sz w:val="22"/>
          <w:szCs w:val="22"/>
        </w:rPr>
      </w:pPr>
      <w:r w:rsidRPr="00286387">
        <w:rPr>
          <w:rFonts w:asciiTheme="minorHAnsi" w:hAnsiTheme="minorHAnsi" w:cs="Arial"/>
          <w:sz w:val="22"/>
          <w:szCs w:val="22"/>
        </w:rPr>
        <w:t>El facilitar el acceso a mercados externos ha tenido</w:t>
      </w:r>
      <w:r w:rsidRPr="00286387">
        <w:rPr>
          <w:rFonts w:asciiTheme="minorHAnsi" w:hAnsiTheme="minorHAnsi" w:cs="Arial"/>
          <w:sz w:val="22"/>
          <w:szCs w:val="22"/>
        </w:rPr>
        <w:t xml:space="preserve"> también</w:t>
      </w:r>
      <w:r w:rsidRPr="00286387">
        <w:rPr>
          <w:rFonts w:asciiTheme="minorHAnsi" w:hAnsiTheme="minorHAnsi" w:cs="Arial"/>
          <w:sz w:val="22"/>
          <w:szCs w:val="22"/>
        </w:rPr>
        <w:t xml:space="preserve"> un peso crucial para solicitar esta acreditación ya que el sector de la construcción en general, y el de las fachadas en particular, trabaja en un mercado cada vez más global, y una de las claves para el éxito consiste en eliminar las barreras técnicas y reglamentarias de los distintos mercados: “Se prevé que estos nuevos ensayos sirvan como pasaporte a nuestros clientes a la hora de abordar un mercado cada vez más global, y la marca ENAC (reconocido internacionalmente en más de 90 países a través del acuerdo de reconocimiento mutuo dentro de ILAC) servirá para eliminar barreras técnicas y administrativas”, explica Xabier Olano.</w:t>
      </w:r>
    </w:p>
    <w:p w14:paraId="29D3DD5B" w14:textId="77777777" w:rsidR="00563C99" w:rsidRPr="00286387" w:rsidRDefault="00563C99" w:rsidP="00563C99">
      <w:pPr>
        <w:pStyle w:val="Sinespaciad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86387">
        <w:rPr>
          <w:rFonts w:asciiTheme="minorHAnsi" w:hAnsiTheme="minorHAnsi"/>
          <w:b/>
          <w:sz w:val="22"/>
          <w:szCs w:val="22"/>
          <w:u w:val="single"/>
        </w:rPr>
        <w:t>Garantías de los laboratorios acreditados</w:t>
      </w:r>
    </w:p>
    <w:p w14:paraId="3FDFBBC8" w14:textId="77777777" w:rsidR="00563C99" w:rsidRPr="00286387" w:rsidRDefault="00563C99" w:rsidP="00563C99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0533CBB0" w14:textId="77777777" w:rsidR="00563C99" w:rsidRPr="00286387" w:rsidRDefault="00563C99" w:rsidP="00563C99">
      <w:pPr>
        <w:pStyle w:val="Sinespaciad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286387">
        <w:rPr>
          <w:rFonts w:asciiTheme="minorHAnsi" w:hAnsiTheme="minorHAnsi"/>
          <w:sz w:val="22"/>
          <w:szCs w:val="22"/>
        </w:rPr>
        <w:t xml:space="preserve">La acreditación de ENAC </w:t>
      </w:r>
      <w:r w:rsidRPr="00286387">
        <w:rPr>
          <w:rFonts w:asciiTheme="minorHAnsi" w:eastAsiaTheme="minorHAnsi" w:hAnsiTheme="minorHAnsi" w:cstheme="minorBidi"/>
          <w:sz w:val="22"/>
          <w:szCs w:val="22"/>
        </w:rPr>
        <w:t xml:space="preserve">constata la competencia técnica de Tecnalia frente a este tipo de ensayos en fachadas, lo que supone, entre otros, que el laboratorio dispone de personal cualificado, que cuenta con las instalaciones y los equipos necesarios, que estos equipos están calibrados y adecuadamente mantenidos, que sus ensayos o calibraciones se ejecutan utilizando métodos y procedimientos técnicamente válidos, y que su actividad está sometida a un estricto control de calidad. </w:t>
      </w:r>
    </w:p>
    <w:p w14:paraId="2F19E539" w14:textId="77777777" w:rsidR="00563C99" w:rsidRPr="00286387" w:rsidRDefault="00563C99" w:rsidP="00563C99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0F41CA91" w14:textId="77777777" w:rsidR="00563C99" w:rsidRPr="00286387" w:rsidRDefault="00563C99" w:rsidP="00563C99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6A04E6DA" w14:textId="77777777" w:rsidR="00563C99" w:rsidRPr="00286387" w:rsidRDefault="00563C99" w:rsidP="00563C99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591932A7" w14:textId="77777777" w:rsidR="00563C99" w:rsidRDefault="00563C99" w:rsidP="00563C99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36B91B5E" w14:textId="77777777" w:rsidR="00563C99" w:rsidRDefault="00563C99" w:rsidP="00563C99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765BB1CC" w14:textId="77777777" w:rsidR="00563C99" w:rsidRDefault="00563C99" w:rsidP="00563C99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36C0D858" w14:textId="77777777" w:rsidR="00563C99" w:rsidRDefault="00563C99" w:rsidP="00563C99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0F7B7DB9" w14:textId="77777777" w:rsidR="00563C99" w:rsidRPr="003A1DCD" w:rsidRDefault="00563C99" w:rsidP="00563C99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3A1DCD">
        <w:rPr>
          <w:rFonts w:asciiTheme="minorHAnsi" w:hAnsiTheme="minorHAnsi"/>
          <w:sz w:val="22"/>
          <w:szCs w:val="22"/>
        </w:rPr>
        <w:t>Todo ello se lo han demostrado a ENAC, el único organismo designado en España para realizar este tipo de evaluaciones, mediante un riguroso proceso de auditoría en el que intervienen expertos técnicos en cada área técnica acreditada y de acuerdo a criterios establecidos y reconocidos internacionalmente.</w:t>
      </w:r>
    </w:p>
    <w:p w14:paraId="0F92D6A9" w14:textId="77777777" w:rsidR="00563C99" w:rsidRPr="003A1DCD" w:rsidRDefault="00563C99" w:rsidP="00563C99">
      <w:pPr>
        <w:jc w:val="both"/>
        <w:rPr>
          <w:rFonts w:asciiTheme="minorHAnsi" w:hAnsiTheme="minorHAnsi"/>
          <w:sz w:val="22"/>
          <w:szCs w:val="22"/>
        </w:rPr>
      </w:pPr>
    </w:p>
    <w:p w14:paraId="42FD662B" w14:textId="77777777" w:rsidR="004F59CA" w:rsidRPr="006C22E2" w:rsidRDefault="004F59CA" w:rsidP="004F59C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C22E2">
        <w:rPr>
          <w:rFonts w:asciiTheme="minorHAnsi" w:hAnsiTheme="minorHAnsi"/>
          <w:b/>
          <w:sz w:val="22"/>
          <w:szCs w:val="22"/>
          <w:u w:val="single"/>
        </w:rPr>
        <w:t>Sobre ENAC</w:t>
      </w:r>
    </w:p>
    <w:p w14:paraId="541CC943" w14:textId="77777777" w:rsidR="004F59CA" w:rsidRPr="006C22E2" w:rsidRDefault="004F59CA" w:rsidP="004F59CA">
      <w:pPr>
        <w:jc w:val="both"/>
        <w:rPr>
          <w:rFonts w:asciiTheme="minorHAnsi" w:hAnsiTheme="minorHAnsi"/>
          <w:b/>
          <w:sz w:val="22"/>
          <w:szCs w:val="22"/>
        </w:rPr>
      </w:pPr>
    </w:p>
    <w:p w14:paraId="0E4564B4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La Entidad Nacional de Acreditación – ENAC – es la entidad  designada por el Gobierno para operar en España como el único Organismo Nacional de Acreditación, en aplicación del Reglamento (CE) nº 765/2008 del Parlamento Europeo que regula el funcionamiento de la acreditación en Europa.</w:t>
      </w:r>
    </w:p>
    <w:p w14:paraId="17350225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color w:val="1F497D"/>
          <w:sz w:val="22"/>
          <w:szCs w:val="22"/>
        </w:rPr>
        <w:t> </w:t>
      </w:r>
    </w:p>
    <w:p w14:paraId="679FF41F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Agricultura y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7E652951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 </w:t>
      </w:r>
    </w:p>
    <w:p w14:paraId="09EF0363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90 países en los que la marca de ENAC es reconocida y aceptada gracias a los acuerdos de reconocimiento que ENAC ha suscrito con las entidades de acreditación de esos países.</w:t>
      </w:r>
    </w:p>
    <w:p w14:paraId="4BBFE62F" w14:textId="77777777" w:rsidR="006C22E2" w:rsidRPr="006C22E2" w:rsidRDefault="006C22E2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09C21BD0" w14:textId="77777777" w:rsidR="004F59CA" w:rsidRPr="006C22E2" w:rsidRDefault="00D13E42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hyperlink r:id="rId9" w:history="1">
        <w:r w:rsidR="004F59CA" w:rsidRPr="006C22E2">
          <w:rPr>
            <w:rStyle w:val="Hipervnculo"/>
            <w:rFonts w:asciiTheme="minorHAnsi" w:hAnsiTheme="minorHAnsi"/>
            <w:sz w:val="22"/>
            <w:szCs w:val="22"/>
          </w:rPr>
          <w:t>www.enac.es</w:t>
        </w:r>
      </w:hyperlink>
      <w:r w:rsidR="004F59CA" w:rsidRPr="006C22E2">
        <w:rPr>
          <w:rFonts w:asciiTheme="minorHAnsi" w:hAnsiTheme="minorHAnsi"/>
          <w:sz w:val="22"/>
          <w:szCs w:val="22"/>
        </w:rPr>
        <w:t xml:space="preserve"> </w:t>
      </w:r>
    </w:p>
    <w:p w14:paraId="76B1AA70" w14:textId="46645955" w:rsidR="004F59CA" w:rsidRPr="006C22E2" w:rsidRDefault="004F59CA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D96251" wp14:editId="34AC05B9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6985" b="6985"/>
            <wp:wrapTight wrapText="bothSides">
              <wp:wrapPolygon edited="0">
                <wp:start x="0" y="0"/>
                <wp:lineTo x="0" y="18567"/>
                <wp:lineTo x="1857" y="20424"/>
                <wp:lineTo x="18567" y="20424"/>
                <wp:lineTo x="20424" y="18567"/>
                <wp:lineTo x="20424" y="0"/>
                <wp:lineTo x="0" y="0"/>
              </wp:wrapPolygon>
            </wp:wrapTight>
            <wp:docPr id="3" name="Imagen 3" descr="Resultado de imagen de icono linkedi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linkedi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E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79D922C" wp14:editId="634D1A05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21615" cy="181610"/>
            <wp:effectExtent l="0" t="0" r="6985" b="8890"/>
            <wp:wrapTight wrapText="bothSides">
              <wp:wrapPolygon edited="0">
                <wp:start x="0" y="0"/>
                <wp:lineTo x="0" y="20392"/>
                <wp:lineTo x="16711" y="20392"/>
                <wp:lineTo x="20424" y="9063"/>
                <wp:lineTo x="20424" y="0"/>
                <wp:lineTo x="0" y="0"/>
              </wp:wrapPolygon>
            </wp:wrapTight>
            <wp:docPr id="2" name="Imagen 2" descr="Resultado de imagen de icono twitte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cono twitte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48D84" w14:textId="77777777" w:rsidR="004F59CA" w:rsidRPr="006C22E2" w:rsidRDefault="004F59CA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1315BA20" w14:textId="77777777" w:rsidR="004F59CA" w:rsidRPr="006C22E2" w:rsidRDefault="004F59CA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439227CE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2AB6EAA1" w14:textId="77777777" w:rsidR="0010624D" w:rsidRDefault="0010624D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590DDCEE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>Para más información sobre la nota de prensa, resolver dudas o gestionar entrevistas</w:t>
      </w:r>
    </w:p>
    <w:p w14:paraId="03E1812A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>Eva Martín</w:t>
      </w:r>
    </w:p>
    <w:p w14:paraId="7D24CE8B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 xml:space="preserve">Tfno. 628 17 49 01 /  </w:t>
      </w:r>
      <w:hyperlink r:id="rId16" w:history="1">
        <w:r w:rsidRPr="006C22E2">
          <w:rPr>
            <w:rStyle w:val="Hipervnculo"/>
            <w:rFonts w:asciiTheme="minorHAnsi" w:hAnsiTheme="minorHAnsi"/>
            <w:sz w:val="22"/>
            <w:szCs w:val="22"/>
          </w:rPr>
          <w:t>evamc@varenga.es</w:t>
        </w:r>
      </w:hyperlink>
    </w:p>
    <w:p w14:paraId="5F7D57DF" w14:textId="77777777" w:rsidR="004F59CA" w:rsidRPr="004F59CA" w:rsidRDefault="004F59CA" w:rsidP="004F59CA">
      <w:pPr>
        <w:pStyle w:val="Sinespaciado"/>
        <w:jc w:val="both"/>
        <w:rPr>
          <w:rFonts w:asciiTheme="minorHAnsi" w:hAnsiTheme="minorHAnsi"/>
        </w:rPr>
      </w:pPr>
    </w:p>
    <w:sectPr w:rsidR="004F59CA" w:rsidRPr="004F59CA" w:rsidSect="00855A5A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69B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69B1C" w16cid:durableId="1F0C59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FF957" w14:textId="77777777" w:rsidR="00D13E42" w:rsidRDefault="00D13E42" w:rsidP="004A3521">
      <w:r>
        <w:separator/>
      </w:r>
    </w:p>
  </w:endnote>
  <w:endnote w:type="continuationSeparator" w:id="0">
    <w:p w14:paraId="65255F8B" w14:textId="77777777" w:rsidR="00D13E42" w:rsidRDefault="00D13E42" w:rsidP="004A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079D6" w14:textId="77777777" w:rsidR="00B14A71" w:rsidRDefault="00B14A71">
    <w:pPr>
      <w:pStyle w:val="Piedepgina"/>
    </w:pPr>
  </w:p>
  <w:p w14:paraId="2B6ED9B0" w14:textId="77777777" w:rsidR="00B14A71" w:rsidRDefault="00B14A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41FED" w14:textId="77777777" w:rsidR="00D13E42" w:rsidRDefault="00D13E42" w:rsidP="004A3521">
      <w:r>
        <w:separator/>
      </w:r>
    </w:p>
  </w:footnote>
  <w:footnote w:type="continuationSeparator" w:id="0">
    <w:p w14:paraId="2E34EBE8" w14:textId="77777777" w:rsidR="00D13E42" w:rsidRDefault="00D13E42" w:rsidP="004A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0140" w14:textId="4EA1CA83" w:rsidR="004F59CA" w:rsidRPr="004F59CA" w:rsidRDefault="004F59CA" w:rsidP="004F59CA">
    <w:pPr>
      <w:pStyle w:val="Encabezado"/>
      <w:rPr>
        <w:rFonts w:asciiTheme="minorHAnsi" w:hAnsiTheme="minorHAnsi"/>
        <w:b/>
        <w:sz w:val="40"/>
        <w:szCs w:val="40"/>
      </w:rPr>
    </w:pPr>
    <w:r w:rsidRPr="004F59CA">
      <w:rPr>
        <w:rFonts w:asciiTheme="minorHAnsi" w:hAnsiTheme="minorHAnsi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4EF7D7E" wp14:editId="52CE47B5">
          <wp:simplePos x="0" y="0"/>
          <wp:positionH relativeFrom="column">
            <wp:posOffset>4530090</wp:posOffset>
          </wp:positionH>
          <wp:positionV relativeFrom="paragraph">
            <wp:posOffset>-297180</wp:posOffset>
          </wp:positionV>
          <wp:extent cx="1324610" cy="733425"/>
          <wp:effectExtent l="0" t="0" r="8890" b="9525"/>
          <wp:wrapTight wrapText="bothSides">
            <wp:wrapPolygon edited="0">
              <wp:start x="9319" y="0"/>
              <wp:lineTo x="6834" y="2244"/>
              <wp:lineTo x="621" y="8416"/>
              <wp:lineTo x="0" y="18514"/>
              <wp:lineTo x="0" y="21319"/>
              <wp:lineTo x="21434" y="21319"/>
              <wp:lineTo x="21434" y="18514"/>
              <wp:lineTo x="21124" y="8416"/>
              <wp:lineTo x="16775" y="4488"/>
              <wp:lineTo x="11494" y="0"/>
              <wp:lineTo x="9319" y="0"/>
            </wp:wrapPolygon>
          </wp:wrapTight>
          <wp:docPr id="1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9CA">
      <w:rPr>
        <w:rFonts w:asciiTheme="minorHAnsi" w:hAnsiTheme="minorHAnsi"/>
        <w:b/>
        <w:sz w:val="40"/>
        <w:szCs w:val="40"/>
      </w:rPr>
      <w:t>NOTA DE PRENSA</w:t>
    </w:r>
  </w:p>
  <w:p w14:paraId="2967B68D" w14:textId="77777777" w:rsidR="004F59CA" w:rsidRDefault="004F59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C84"/>
    <w:multiLevelType w:val="hybridMultilevel"/>
    <w:tmpl w:val="444804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6B26"/>
    <w:multiLevelType w:val="hybridMultilevel"/>
    <w:tmpl w:val="B7801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C0911"/>
    <w:multiLevelType w:val="hybridMultilevel"/>
    <w:tmpl w:val="08503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919"/>
    <w:multiLevelType w:val="hybridMultilevel"/>
    <w:tmpl w:val="1174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31C17"/>
    <w:multiLevelType w:val="hybridMultilevel"/>
    <w:tmpl w:val="1A707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41237"/>
    <w:multiLevelType w:val="hybridMultilevel"/>
    <w:tmpl w:val="D7849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7182"/>
    <w:multiLevelType w:val="hybridMultilevel"/>
    <w:tmpl w:val="963C0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136F0"/>
    <w:multiLevelType w:val="hybridMultilevel"/>
    <w:tmpl w:val="B9883E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6A713B"/>
    <w:multiLevelType w:val="hybridMultilevel"/>
    <w:tmpl w:val="547C6C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523072"/>
    <w:multiLevelType w:val="hybridMultilevel"/>
    <w:tmpl w:val="92C4F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60786"/>
    <w:multiLevelType w:val="hybridMultilevel"/>
    <w:tmpl w:val="96BC2B0A"/>
    <w:lvl w:ilvl="0" w:tplc="605073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940419"/>
    <w:multiLevelType w:val="multilevel"/>
    <w:tmpl w:val="DD3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973D2"/>
    <w:multiLevelType w:val="hybridMultilevel"/>
    <w:tmpl w:val="22240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915CF"/>
    <w:multiLevelType w:val="hybridMultilevel"/>
    <w:tmpl w:val="921CB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774F7"/>
    <w:multiLevelType w:val="multilevel"/>
    <w:tmpl w:val="FD2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5450B"/>
    <w:multiLevelType w:val="hybridMultilevel"/>
    <w:tmpl w:val="1102E7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221F8"/>
    <w:multiLevelType w:val="hybridMultilevel"/>
    <w:tmpl w:val="D7243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E56CA"/>
    <w:multiLevelType w:val="hybridMultilevel"/>
    <w:tmpl w:val="8EF24B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6082A"/>
    <w:multiLevelType w:val="hybridMultilevel"/>
    <w:tmpl w:val="9DD47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F46E0"/>
    <w:multiLevelType w:val="hybridMultilevel"/>
    <w:tmpl w:val="90EC3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22561"/>
    <w:multiLevelType w:val="hybridMultilevel"/>
    <w:tmpl w:val="83D86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0"/>
  </w:num>
  <w:num w:numId="5">
    <w:abstractNumId w:val="14"/>
  </w:num>
  <w:num w:numId="6">
    <w:abstractNumId w:val="0"/>
  </w:num>
  <w:num w:numId="7">
    <w:abstractNumId w:val="8"/>
  </w:num>
  <w:num w:numId="8">
    <w:abstractNumId w:val="7"/>
  </w:num>
  <w:num w:numId="9">
    <w:abstractNumId w:val="17"/>
  </w:num>
  <w:num w:numId="10">
    <w:abstractNumId w:val="11"/>
  </w:num>
  <w:num w:numId="11">
    <w:abstractNumId w:val="19"/>
  </w:num>
  <w:num w:numId="12">
    <w:abstractNumId w:val="15"/>
  </w:num>
  <w:num w:numId="13">
    <w:abstractNumId w:val="15"/>
  </w:num>
  <w:num w:numId="14">
    <w:abstractNumId w:val="2"/>
  </w:num>
  <w:num w:numId="15">
    <w:abstractNumId w:val="20"/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3"/>
  </w:num>
  <w:num w:numId="21">
    <w:abstractNumId w:val="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3A"/>
    <w:rsid w:val="000015D9"/>
    <w:rsid w:val="00004D6E"/>
    <w:rsid w:val="00047BA0"/>
    <w:rsid w:val="00064361"/>
    <w:rsid w:val="00074E79"/>
    <w:rsid w:val="00091E92"/>
    <w:rsid w:val="00095492"/>
    <w:rsid w:val="00095AE7"/>
    <w:rsid w:val="000B689E"/>
    <w:rsid w:val="000D075E"/>
    <w:rsid w:val="000E74CF"/>
    <w:rsid w:val="000F1058"/>
    <w:rsid w:val="000F5374"/>
    <w:rsid w:val="0010624D"/>
    <w:rsid w:val="001071E8"/>
    <w:rsid w:val="00133524"/>
    <w:rsid w:val="00134B55"/>
    <w:rsid w:val="00137744"/>
    <w:rsid w:val="001462CA"/>
    <w:rsid w:val="001515C6"/>
    <w:rsid w:val="001633FC"/>
    <w:rsid w:val="0019398B"/>
    <w:rsid w:val="001A342A"/>
    <w:rsid w:val="001C2008"/>
    <w:rsid w:val="001C27AA"/>
    <w:rsid w:val="001C3AC6"/>
    <w:rsid w:val="001C5A58"/>
    <w:rsid w:val="001D074F"/>
    <w:rsid w:val="001D086D"/>
    <w:rsid w:val="00217CEA"/>
    <w:rsid w:val="002306E5"/>
    <w:rsid w:val="002345AA"/>
    <w:rsid w:val="00240544"/>
    <w:rsid w:val="00270145"/>
    <w:rsid w:val="00280FB7"/>
    <w:rsid w:val="00286387"/>
    <w:rsid w:val="002875F6"/>
    <w:rsid w:val="002B3672"/>
    <w:rsid w:val="002C469A"/>
    <w:rsid w:val="002E2DB2"/>
    <w:rsid w:val="002F2A11"/>
    <w:rsid w:val="002F6A33"/>
    <w:rsid w:val="00302323"/>
    <w:rsid w:val="00326070"/>
    <w:rsid w:val="00334ABD"/>
    <w:rsid w:val="00374ADF"/>
    <w:rsid w:val="00377626"/>
    <w:rsid w:val="003D41D8"/>
    <w:rsid w:val="003D6829"/>
    <w:rsid w:val="003F2EA0"/>
    <w:rsid w:val="004325CE"/>
    <w:rsid w:val="00432C9A"/>
    <w:rsid w:val="004362BA"/>
    <w:rsid w:val="0046098B"/>
    <w:rsid w:val="004745AD"/>
    <w:rsid w:val="00480FCB"/>
    <w:rsid w:val="0049104E"/>
    <w:rsid w:val="00492A76"/>
    <w:rsid w:val="004A3521"/>
    <w:rsid w:val="004A6439"/>
    <w:rsid w:val="004B19EA"/>
    <w:rsid w:val="004B660F"/>
    <w:rsid w:val="004C624A"/>
    <w:rsid w:val="004D04F9"/>
    <w:rsid w:val="004D7F11"/>
    <w:rsid w:val="004E476D"/>
    <w:rsid w:val="004F3792"/>
    <w:rsid w:val="004F59CA"/>
    <w:rsid w:val="005102CA"/>
    <w:rsid w:val="00531B2E"/>
    <w:rsid w:val="00563C99"/>
    <w:rsid w:val="00576075"/>
    <w:rsid w:val="00582A13"/>
    <w:rsid w:val="00596424"/>
    <w:rsid w:val="005A3426"/>
    <w:rsid w:val="005A6D18"/>
    <w:rsid w:val="005E43E0"/>
    <w:rsid w:val="005E5A69"/>
    <w:rsid w:val="00615F70"/>
    <w:rsid w:val="006164A9"/>
    <w:rsid w:val="0062373D"/>
    <w:rsid w:val="006266CE"/>
    <w:rsid w:val="00626AF5"/>
    <w:rsid w:val="00644C35"/>
    <w:rsid w:val="006458EB"/>
    <w:rsid w:val="0065576D"/>
    <w:rsid w:val="006573B5"/>
    <w:rsid w:val="0066157C"/>
    <w:rsid w:val="00695682"/>
    <w:rsid w:val="006A2DD4"/>
    <w:rsid w:val="006A5087"/>
    <w:rsid w:val="006B2729"/>
    <w:rsid w:val="006B5089"/>
    <w:rsid w:val="006C22E2"/>
    <w:rsid w:val="006D4956"/>
    <w:rsid w:val="006D4C3E"/>
    <w:rsid w:val="006E434D"/>
    <w:rsid w:val="006F619A"/>
    <w:rsid w:val="00727763"/>
    <w:rsid w:val="00735D78"/>
    <w:rsid w:val="00751E25"/>
    <w:rsid w:val="007650E1"/>
    <w:rsid w:val="00771F62"/>
    <w:rsid w:val="007872B8"/>
    <w:rsid w:val="007A270D"/>
    <w:rsid w:val="007D44BD"/>
    <w:rsid w:val="008012FA"/>
    <w:rsid w:val="00805354"/>
    <w:rsid w:val="00822349"/>
    <w:rsid w:val="00823C4A"/>
    <w:rsid w:val="00826EAC"/>
    <w:rsid w:val="00834D8C"/>
    <w:rsid w:val="0084393A"/>
    <w:rsid w:val="00855A5A"/>
    <w:rsid w:val="00857E21"/>
    <w:rsid w:val="00887ABC"/>
    <w:rsid w:val="008B2DA9"/>
    <w:rsid w:val="008E52E6"/>
    <w:rsid w:val="00903E57"/>
    <w:rsid w:val="00941E63"/>
    <w:rsid w:val="0094367D"/>
    <w:rsid w:val="00956992"/>
    <w:rsid w:val="00971C58"/>
    <w:rsid w:val="00974558"/>
    <w:rsid w:val="00985AA6"/>
    <w:rsid w:val="009A3FBD"/>
    <w:rsid w:val="009D193A"/>
    <w:rsid w:val="009F0AF2"/>
    <w:rsid w:val="009F521B"/>
    <w:rsid w:val="00A01A25"/>
    <w:rsid w:val="00A07CAF"/>
    <w:rsid w:val="00A11F45"/>
    <w:rsid w:val="00A41963"/>
    <w:rsid w:val="00A4375B"/>
    <w:rsid w:val="00A50845"/>
    <w:rsid w:val="00A55584"/>
    <w:rsid w:val="00A65909"/>
    <w:rsid w:val="00A923E9"/>
    <w:rsid w:val="00AC25FF"/>
    <w:rsid w:val="00AD75B0"/>
    <w:rsid w:val="00AE3CCB"/>
    <w:rsid w:val="00AE55A2"/>
    <w:rsid w:val="00AE5C5C"/>
    <w:rsid w:val="00AE6CB1"/>
    <w:rsid w:val="00AF2F4A"/>
    <w:rsid w:val="00B07CD9"/>
    <w:rsid w:val="00B14A71"/>
    <w:rsid w:val="00B20799"/>
    <w:rsid w:val="00B24AAA"/>
    <w:rsid w:val="00B36196"/>
    <w:rsid w:val="00B4079B"/>
    <w:rsid w:val="00B43C96"/>
    <w:rsid w:val="00B44435"/>
    <w:rsid w:val="00B457E2"/>
    <w:rsid w:val="00B505A4"/>
    <w:rsid w:val="00B53131"/>
    <w:rsid w:val="00B76707"/>
    <w:rsid w:val="00BA6ADF"/>
    <w:rsid w:val="00BB107A"/>
    <w:rsid w:val="00BB4B86"/>
    <w:rsid w:val="00BC5608"/>
    <w:rsid w:val="00BD3093"/>
    <w:rsid w:val="00C010C8"/>
    <w:rsid w:val="00C2406A"/>
    <w:rsid w:val="00C316B5"/>
    <w:rsid w:val="00C31804"/>
    <w:rsid w:val="00C31EBB"/>
    <w:rsid w:val="00C417BF"/>
    <w:rsid w:val="00C535CC"/>
    <w:rsid w:val="00C61375"/>
    <w:rsid w:val="00C61933"/>
    <w:rsid w:val="00C91F1F"/>
    <w:rsid w:val="00CB2C42"/>
    <w:rsid w:val="00CD75BF"/>
    <w:rsid w:val="00CF2B92"/>
    <w:rsid w:val="00D11A1D"/>
    <w:rsid w:val="00D12704"/>
    <w:rsid w:val="00D13E42"/>
    <w:rsid w:val="00D24370"/>
    <w:r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id w:val="00E84B6E"/>
    <w:rsid w:val="00E85748"/>
    <w:rsid w:val="00EB3A64"/>
    <w:rsid w:val="00ED59EA"/>
    <w:rsid w:val="00EE30EE"/>
    <w:rsid w:val="00F330E0"/>
    <w:rsid w:val="00F348B1"/>
    <w:rsid w:val="00F5080F"/>
    <w:rsid w:val="00F56C72"/>
    <w:rsid w:val="00F65D7E"/>
    <w:rsid w:val="00F66AAE"/>
    <w:rsid w:val="00F72134"/>
    <w:rsid w:val="00F8198A"/>
    <w:rsid w:val="00F82423"/>
    <w:rsid w:val="00FB3401"/>
    <w:rsid w:val="00FB7824"/>
    <w:rsid w:val="00FC56F0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3F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33524"/>
    <w:pPr>
      <w:spacing w:after="210"/>
      <w:outlineLvl w:val="0"/>
    </w:pPr>
    <w:rPr>
      <w:rFonts w:ascii="Helvetica" w:hAnsi="Helvetica"/>
      <w:b/>
      <w:bCs/>
      <w:color w:val="222222"/>
      <w:kern w:val="36"/>
      <w:sz w:val="66"/>
      <w:szCs w:val="6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5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oblanco6">
    <w:name w:val="atexto_blanco_6"/>
    <w:basedOn w:val="Normal"/>
    <w:rsid w:val="0084393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84393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676B"/>
    <w:pPr>
      <w:ind w:left="720"/>
      <w:contextualSpacing/>
    </w:pPr>
  </w:style>
  <w:style w:type="paragraph" w:customStyle="1" w:styleId="Default">
    <w:name w:val="Default"/>
    <w:rsid w:val="00D86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4367D"/>
    <w:pPr>
      <w:spacing w:line="201" w:lineRule="atLeast"/>
    </w:pPr>
    <w:rPr>
      <w:color w:val="auto"/>
    </w:rPr>
  </w:style>
  <w:style w:type="character" w:customStyle="1" w:styleId="st1">
    <w:name w:val="st1"/>
    <w:basedOn w:val="Fuentedeprrafopredeter"/>
    <w:rsid w:val="00133524"/>
  </w:style>
  <w:style w:type="character" w:customStyle="1" w:styleId="Ttulo1Car">
    <w:name w:val="Título 1 Car"/>
    <w:basedOn w:val="Fuentedeprrafopredeter"/>
    <w:link w:val="Ttulo1"/>
    <w:uiPriority w:val="9"/>
    <w:rsid w:val="00133524"/>
    <w:rPr>
      <w:rFonts w:ascii="Helvetica" w:eastAsia="Times New Roman" w:hAnsi="Helvetica" w:cs="Times New Roman"/>
      <w:b/>
      <w:bCs/>
      <w:color w:val="222222"/>
      <w:kern w:val="36"/>
      <w:sz w:val="66"/>
      <w:szCs w:val="6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352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352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35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37F5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45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A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E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E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E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E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EA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3F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25FF"/>
    <w:rPr>
      <w:b/>
      <w:bCs/>
    </w:rPr>
  </w:style>
  <w:style w:type="paragraph" w:styleId="Sinespaciado">
    <w:name w:val="No Spacing"/>
    <w:uiPriority w:val="1"/>
    <w:qFormat/>
    <w:rsid w:val="004F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33524"/>
    <w:pPr>
      <w:spacing w:after="210"/>
      <w:outlineLvl w:val="0"/>
    </w:pPr>
    <w:rPr>
      <w:rFonts w:ascii="Helvetica" w:hAnsi="Helvetica"/>
      <w:b/>
      <w:bCs/>
      <w:color w:val="222222"/>
      <w:kern w:val="36"/>
      <w:sz w:val="66"/>
      <w:szCs w:val="6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5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oblanco6">
    <w:name w:val="atexto_blanco_6"/>
    <w:basedOn w:val="Normal"/>
    <w:rsid w:val="0084393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84393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676B"/>
    <w:pPr>
      <w:ind w:left="720"/>
      <w:contextualSpacing/>
    </w:pPr>
  </w:style>
  <w:style w:type="paragraph" w:customStyle="1" w:styleId="Default">
    <w:name w:val="Default"/>
    <w:rsid w:val="00D86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4367D"/>
    <w:pPr>
      <w:spacing w:line="201" w:lineRule="atLeast"/>
    </w:pPr>
    <w:rPr>
      <w:color w:val="auto"/>
    </w:rPr>
  </w:style>
  <w:style w:type="character" w:customStyle="1" w:styleId="st1">
    <w:name w:val="st1"/>
    <w:basedOn w:val="Fuentedeprrafopredeter"/>
    <w:rsid w:val="00133524"/>
  </w:style>
  <w:style w:type="character" w:customStyle="1" w:styleId="Ttulo1Car">
    <w:name w:val="Título 1 Car"/>
    <w:basedOn w:val="Fuentedeprrafopredeter"/>
    <w:link w:val="Ttulo1"/>
    <w:uiPriority w:val="9"/>
    <w:rsid w:val="00133524"/>
    <w:rPr>
      <w:rFonts w:ascii="Helvetica" w:eastAsia="Times New Roman" w:hAnsi="Helvetica" w:cs="Times New Roman"/>
      <w:b/>
      <w:bCs/>
      <w:color w:val="222222"/>
      <w:kern w:val="36"/>
      <w:sz w:val="66"/>
      <w:szCs w:val="6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352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352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35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37F5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45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A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E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E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E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E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EA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3F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25FF"/>
    <w:rPr>
      <w:b/>
      <w:bCs/>
    </w:rPr>
  </w:style>
  <w:style w:type="paragraph" w:styleId="Sinespaciado">
    <w:name w:val="No Spacing"/>
    <w:uiPriority w:val="1"/>
    <w:qFormat/>
    <w:rsid w:val="004F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05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ENAC_acredit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http://icon-icons.com/icons2/808/PNG/512/linkedin_icon-icons.com_66096.p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vamc@varenga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http://vignette1.wikia.nocookie.net/hieloyfuego/images/a/a1/%C3%8Dcono_Twitter.png/revision/latest?cb=20130921232359" TargetMode="External"/><Relationship Id="rId10" Type="http://schemas.openxmlformats.org/officeDocument/2006/relationships/hyperlink" Target="https://www.linkedin.com/company/entidad-nacional-de-acreditacio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nac.es" TargetMode="External"/><Relationship Id="rId14" Type="http://schemas.openxmlformats.org/officeDocument/2006/relationships/image" Target="media/image2.png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FD4F-A848-452C-80B0-C7DF0955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González</dc:creator>
  <cp:lastModifiedBy>Eva Martin</cp:lastModifiedBy>
  <cp:revision>5</cp:revision>
  <dcterms:created xsi:type="dcterms:W3CDTF">2018-10-04T09:30:00Z</dcterms:created>
  <dcterms:modified xsi:type="dcterms:W3CDTF">2018-10-04T11:06:00Z</dcterms:modified>
</cp:coreProperties>
</file>