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58F7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  <w:sz w:val="48"/>
          <w:szCs w:val="48"/>
        </w:rPr>
      </w:pPr>
    </w:p>
    <w:p w14:paraId="405C58F8" w14:textId="77777777" w:rsidR="00D3261F" w:rsidRDefault="001D242E" w:rsidP="25B98E8A">
      <w:pPr>
        <w:jc w:val="center"/>
        <w:rPr>
          <w:b/>
          <w:bCs/>
          <w:sz w:val="34"/>
          <w:szCs w:val="34"/>
        </w:rPr>
      </w:pPr>
      <w:r w:rsidRPr="25B98E8A">
        <w:rPr>
          <w:b/>
          <w:bCs/>
          <w:sz w:val="34"/>
          <w:szCs w:val="34"/>
        </w:rPr>
        <w:t xml:space="preserve">Primer acreditado por ENAC para la inspección de instalaciones de almacenamiento y suministro de hidrógeno </w:t>
      </w:r>
    </w:p>
    <w:p w14:paraId="405C58F9" w14:textId="77777777" w:rsidR="00D3261F" w:rsidRDefault="001D242E" w:rsidP="25B98E8A">
      <w:pPr>
        <w:numPr>
          <w:ilvl w:val="0"/>
          <w:numId w:val="1"/>
        </w:numPr>
        <w:jc w:val="both"/>
        <w:rPr>
          <w:color w:val="000000" w:themeColor="text1"/>
        </w:rPr>
      </w:pPr>
      <w:r w:rsidRPr="25B98E8A">
        <w:rPr>
          <w:b/>
          <w:bCs/>
        </w:rPr>
        <w:t>SCI Servicios de Control e Inspección</w:t>
      </w:r>
      <w:r w:rsidRPr="25B98E8A">
        <w:t xml:space="preserve"> se convierte en el primer acreditado en España para inspeccionar este tipo de instalaciones en fase gas para su utilización como carburante de vehículos a motor </w:t>
      </w:r>
    </w:p>
    <w:p w14:paraId="40FF4AD7" w14:textId="49A3A830" w:rsidR="002D2622" w:rsidRDefault="002D2622" w:rsidP="25B98E8A">
      <w:pPr>
        <w:numPr>
          <w:ilvl w:val="0"/>
          <w:numId w:val="1"/>
        </w:numPr>
        <w:spacing w:after="160" w:line="259" w:lineRule="auto"/>
        <w:jc w:val="both"/>
        <w:rPr>
          <w:color w:val="000000" w:themeColor="text1"/>
        </w:rPr>
      </w:pPr>
      <w:r w:rsidRPr="25B98E8A">
        <w:t xml:space="preserve">El </w:t>
      </w:r>
      <w:r w:rsidRPr="25B98E8A">
        <w:rPr>
          <w:b/>
          <w:bCs/>
        </w:rPr>
        <w:t>hidrógeno, fuente de energía ilimitada que plantea una alternativa sostenible y limpia a las fuentes energéticas actuales</w:t>
      </w:r>
      <w:r w:rsidRPr="25B98E8A">
        <w:t>, es un vector energético importante para contribuir a frenar el cambio climático</w:t>
      </w:r>
    </w:p>
    <w:p w14:paraId="405C58FB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720"/>
        <w:jc w:val="both"/>
        <w:rPr>
          <w:b/>
        </w:rPr>
      </w:pPr>
    </w:p>
    <w:p w14:paraId="405C58FC" w14:textId="1D5470B1" w:rsidR="00D3261F" w:rsidRDefault="001D24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</w:pPr>
      <w:r>
        <w:t xml:space="preserve">Madrid, </w:t>
      </w:r>
      <w:r w:rsidR="60B40525">
        <w:t>07</w:t>
      </w:r>
      <w:r>
        <w:t xml:space="preserve"> de febrero de 2022.- La </w:t>
      </w:r>
      <w:hyperlink r:id="rId10">
        <w:r w:rsidRPr="25B98E8A">
          <w:rPr>
            <w:color w:val="1155CC"/>
            <w:u w:val="single"/>
          </w:rPr>
          <w:t>Entidad Nacional de Acreditación</w:t>
        </w:r>
      </w:hyperlink>
      <w:r>
        <w:t xml:space="preserve"> (ENAC) ha concedido la acreditación a </w:t>
      </w:r>
      <w:hyperlink r:id="rId11">
        <w:r w:rsidRPr="25B98E8A">
          <w:rPr>
            <w:color w:val="0563C1"/>
            <w:u w:val="single"/>
          </w:rPr>
          <w:t>SCI Servicios de Control e Inspección</w:t>
        </w:r>
      </w:hyperlink>
      <w:r>
        <w:t xml:space="preserve"> para </w:t>
      </w:r>
      <w:r w:rsidRPr="25B98E8A">
        <w:rPr>
          <w:b/>
          <w:bCs/>
        </w:rPr>
        <w:t>inspeccionar instalaciones de almacenamiento y suministro de hidrógeno en fase gas para su utilización como carburante de vehículos a motor</w:t>
      </w:r>
      <w:r>
        <w:t xml:space="preserve">, convirtiéndose, así, en la primera entidad acreditada para realizar la actividad en España. </w:t>
      </w:r>
    </w:p>
    <w:p w14:paraId="405C58FD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</w:pPr>
    </w:p>
    <w:p w14:paraId="405C58FE" w14:textId="77777777" w:rsidR="00D3261F" w:rsidRDefault="001D24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</w:pPr>
      <w:r>
        <w:t>El almacenamiento y transporte del hidrógeno es sencillo, p</w:t>
      </w:r>
      <w:r>
        <w:rPr>
          <w:b/>
        </w:rPr>
        <w:t>udiendo obtenerse de forma sostenible y utilizarse como carburante</w:t>
      </w:r>
      <w:r>
        <w:t xml:space="preserve"> para transporte de mercancías por tierra o por mar o para transporte de personas en vehículos particulares y en transporte público. </w:t>
      </w:r>
    </w:p>
    <w:p w14:paraId="405C58FF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</w:pPr>
    </w:p>
    <w:p w14:paraId="405C5900" w14:textId="77777777" w:rsidR="00D3261F" w:rsidRDefault="001D242E">
      <w:pPr>
        <w:spacing w:after="160" w:line="259" w:lineRule="auto"/>
        <w:jc w:val="both"/>
      </w:pPr>
      <w:r>
        <w:t xml:space="preserve">El </w:t>
      </w:r>
      <w:r>
        <w:rPr>
          <w:b/>
        </w:rPr>
        <w:t>hidrógeno es una fuente de energía ilimitada que plantea una alternativa sostenible y limpia a las fuentes energéticas actuales</w:t>
      </w:r>
      <w:r>
        <w:t xml:space="preserve">, además de ser un vector energético importante para contribuir a frenar el cambio climático. Precisamente, uno de los principales objetivos de la nueva </w:t>
      </w:r>
      <w:hyperlink r:id="rId12">
        <w:r>
          <w:rPr>
            <w:color w:val="0563C1"/>
            <w:u w:val="single"/>
          </w:rPr>
          <w:t>Ley de Cambio Climático y Transición Energética</w:t>
        </w:r>
      </w:hyperlink>
      <w:r>
        <w:t xml:space="preserve"> es “facilitar la descarbonización de la economía española y su transición a un modelo circular, de modo que se garantice el uso racional y solidario de los recursos; y promover la adaptación a los impactos del cambio climático”. </w:t>
      </w:r>
    </w:p>
    <w:p w14:paraId="405C5901" w14:textId="77777777" w:rsidR="00D3261F" w:rsidRDefault="001D242E">
      <w:pPr>
        <w:spacing w:after="160" w:line="259" w:lineRule="auto"/>
        <w:jc w:val="both"/>
        <w:rPr>
          <w:i/>
        </w:rPr>
      </w:pPr>
      <w:r>
        <w:t xml:space="preserve">Asimismo, garantizar el acceso a una energía asequible, segura, sostenible y moderna para todos es una de las metas de Naciones Unidas dentro de su Objetivo de Desarrollo Sostenible ODS 7. Optimizar los procesos de producción y consumo de energía, apostar por fuentes de energía renovable en detrimento de los combustibles fósiles o fomentar el consumo responsable y el reciclaje son algunas de las acciones que se pueden llevar a cabo para favorecer el proceso de transición energética. </w:t>
      </w:r>
    </w:p>
    <w:p w14:paraId="405C5902" w14:textId="77777777" w:rsidR="00D3261F" w:rsidRDefault="001D242E">
      <w:pPr>
        <w:spacing w:after="160" w:line="259" w:lineRule="auto"/>
        <w:jc w:val="both"/>
        <w:rPr>
          <w:b/>
        </w:rPr>
      </w:pPr>
      <w:r>
        <w:rPr>
          <w:b/>
        </w:rPr>
        <w:t>Por qué elegir inspección acreditada</w:t>
      </w:r>
    </w:p>
    <w:p w14:paraId="405C5903" w14:textId="77777777" w:rsidR="00D3261F" w:rsidRDefault="001D242E">
      <w:pPr>
        <w:spacing w:after="160" w:line="259" w:lineRule="auto"/>
        <w:jc w:val="both"/>
      </w:pPr>
      <w:r>
        <w:t xml:space="preserve">La necesidad de desarrollar energías alternativas con un menor impacto en el medioambiente está presente en la agenda de la Administración Pública y del mercado tanto a escala nacional como internacional. La acreditación, como herramienta internacionalmente aceptada para determinar la competencia técnica de evaluadores como las entidades de inspección, ofrece al </w:t>
      </w:r>
      <w:r>
        <w:lastRenderedPageBreak/>
        <w:t>mercado la seguridad de confiar en empresas que ofrecen servicios de evaluación con la máxima fiabilidad.</w:t>
      </w:r>
    </w:p>
    <w:p w14:paraId="405C5904" w14:textId="77777777" w:rsidR="00D3261F" w:rsidRDefault="001D242E">
      <w:pPr>
        <w:spacing w:after="160" w:line="259" w:lineRule="auto"/>
        <w:jc w:val="both"/>
      </w:pPr>
      <w:r>
        <w:t>Solo las entidades acreditadas han demostrado han demostrado ante un tercero, ENAC, su solvencia técnica frente a normas internacionalmente reconocidas, lo que proporcionará la confianza que demandan los clientes y, por tanto, un valor añadido en términos de eficiencia y seguridad, además de posibilitar la apertura a nuevos mercados y facilitar el acceso a compras públicas.</w:t>
      </w:r>
    </w:p>
    <w:p w14:paraId="405C5905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</w:pPr>
    </w:p>
    <w:p w14:paraId="405C5906" w14:textId="77777777" w:rsidR="00D3261F" w:rsidRDefault="001D242E">
      <w:pPr>
        <w:widowControl w:val="0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Sobre ENAC </w:t>
      </w:r>
    </w:p>
    <w:p w14:paraId="405C5907" w14:textId="77777777" w:rsidR="00D3261F" w:rsidRDefault="00D3261F">
      <w:pPr>
        <w:widowControl w:val="0"/>
        <w:spacing w:after="0" w:line="240" w:lineRule="auto"/>
      </w:pPr>
    </w:p>
    <w:p w14:paraId="405C5908" w14:textId="77777777" w:rsidR="00D3261F" w:rsidRDefault="001D242E">
      <w:pPr>
        <w:spacing w:after="0" w:line="240" w:lineRule="auto"/>
        <w:jc w:val="both"/>
      </w:pPr>
      <w: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t>nº</w:t>
      </w:r>
      <w:proofErr w:type="spellEnd"/>
      <w:r>
        <w:t xml:space="preserve"> 765/2008 del Parlamento Europeo que regula el funcionamiento de la acreditación en Europa.</w:t>
      </w:r>
    </w:p>
    <w:p w14:paraId="405C5909" w14:textId="77777777" w:rsidR="00D3261F" w:rsidRDefault="001D242E">
      <w:pPr>
        <w:spacing w:after="0" w:line="240" w:lineRule="auto"/>
        <w:jc w:val="both"/>
      </w:pPr>
      <w:r>
        <w:rPr>
          <w:color w:val="1F497D"/>
        </w:rPr>
        <w:t> </w:t>
      </w:r>
    </w:p>
    <w:p w14:paraId="405C590A" w14:textId="77777777" w:rsidR="00D3261F" w:rsidRDefault="001D242E">
      <w:pPr>
        <w:spacing w:after="0" w:line="240" w:lineRule="auto"/>
        <w:jc w:val="both"/>
      </w:pPr>
      <w: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405C590B" w14:textId="77777777" w:rsidR="00D3261F" w:rsidRDefault="001D242E">
      <w:pPr>
        <w:spacing w:after="0" w:line="240" w:lineRule="auto"/>
        <w:jc w:val="both"/>
      </w:pPr>
      <w:r>
        <w:t> </w:t>
      </w:r>
    </w:p>
    <w:p w14:paraId="405C590C" w14:textId="77777777" w:rsidR="00D3261F" w:rsidRDefault="001D242E">
      <w:pPr>
        <w:spacing w:after="0" w:line="240" w:lineRule="auto"/>
        <w:jc w:val="both"/>
      </w:pPr>
      <w: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405C590D" w14:textId="77777777" w:rsidR="00D3261F" w:rsidRDefault="00D3261F">
      <w:pPr>
        <w:widowControl w:val="0"/>
        <w:spacing w:after="0" w:line="240" w:lineRule="auto"/>
        <w:jc w:val="both"/>
      </w:pPr>
    </w:p>
    <w:p w14:paraId="405C590E" w14:textId="77777777" w:rsidR="00D3261F" w:rsidRDefault="00C17E6A">
      <w:pPr>
        <w:spacing w:after="0" w:line="240" w:lineRule="auto"/>
      </w:pPr>
      <w:hyperlink r:id="rId13">
        <w:r w:rsidR="001D242E">
          <w:rPr>
            <w:color w:val="0000FF"/>
            <w:u w:val="single"/>
          </w:rPr>
          <w:t>www.enac.es</w:t>
        </w:r>
      </w:hyperlink>
      <w:r w:rsidR="001D242E">
        <w:t xml:space="preserve"> </w:t>
      </w:r>
    </w:p>
    <w:p w14:paraId="405C590F" w14:textId="77777777" w:rsidR="00D3261F" w:rsidRDefault="001D242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5C5915" wp14:editId="405C5916">
            <wp:simplePos x="0" y="0"/>
            <wp:positionH relativeFrom="column">
              <wp:posOffset>3814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2" name="image1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icono twitter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5C5917" wp14:editId="405C5918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2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de icono linkedin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5C5910" w14:textId="77777777" w:rsidR="00D3261F" w:rsidRDefault="00D3261F">
      <w:pPr>
        <w:spacing w:after="0" w:line="240" w:lineRule="auto"/>
      </w:pPr>
    </w:p>
    <w:p w14:paraId="405C5911" w14:textId="77777777" w:rsidR="00D3261F" w:rsidRDefault="001D242E">
      <w:pPr>
        <w:spacing w:after="0" w:line="240" w:lineRule="auto"/>
      </w:pPr>
      <w:r>
        <w:t>Para más información sobre la nota de prensa, resolver dudas o gestionar entrevistas</w:t>
      </w:r>
    </w:p>
    <w:p w14:paraId="405C5912" w14:textId="77777777" w:rsidR="00D3261F" w:rsidRDefault="001D242E">
      <w:pPr>
        <w:spacing w:after="0" w:line="240" w:lineRule="auto"/>
      </w:pPr>
      <w:r>
        <w:t>Eva Martín</w:t>
      </w:r>
    </w:p>
    <w:p w14:paraId="405C5913" w14:textId="77777777" w:rsidR="00D3261F" w:rsidRDefault="001D242E">
      <w:pPr>
        <w:spacing w:after="0" w:line="240" w:lineRule="auto"/>
        <w:rPr>
          <w:b/>
          <w:u w:val="single"/>
        </w:rPr>
      </w:pPr>
      <w:r>
        <w:t xml:space="preserve">Tfno. 628 17 49 01 /  </w:t>
      </w:r>
      <w:hyperlink r:id="rId16">
        <w:r>
          <w:rPr>
            <w:color w:val="0000FF"/>
            <w:u w:val="single"/>
          </w:rPr>
          <w:t>evamc@varenga.es</w:t>
        </w:r>
      </w:hyperlink>
    </w:p>
    <w:p w14:paraId="405C5914" w14:textId="77777777" w:rsidR="00D3261F" w:rsidRDefault="00D32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</w:p>
    <w:sectPr w:rsidR="00D3261F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990E" w14:textId="77777777" w:rsidR="001D242E" w:rsidRDefault="001D242E">
      <w:pPr>
        <w:spacing w:after="0" w:line="240" w:lineRule="auto"/>
      </w:pPr>
      <w:r>
        <w:separator/>
      </w:r>
    </w:p>
  </w:endnote>
  <w:endnote w:type="continuationSeparator" w:id="0">
    <w:p w14:paraId="4774C858" w14:textId="77777777" w:rsidR="001D242E" w:rsidRDefault="001D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91B" w14:textId="77777777" w:rsidR="00D3261F" w:rsidRDefault="00D3261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0" w:type="auto"/>
      <w:tblInd w:w="0" w:type="dxa"/>
      <w:tblLayout w:type="fixed"/>
      <w:tblLook w:val="0600" w:firstRow="0" w:lastRow="0" w:firstColumn="0" w:lastColumn="0" w:noHBand="1" w:noVBand="1"/>
    </w:tblPr>
    <w:tblGrid>
      <w:gridCol w:w="2834"/>
      <w:gridCol w:w="2834"/>
      <w:gridCol w:w="2834"/>
    </w:tblGrid>
    <w:tr w:rsidR="00D3261F" w14:paraId="405C591F" w14:textId="77777777">
      <w:tc>
        <w:tcPr>
          <w:tcW w:w="2834" w:type="dxa"/>
        </w:tcPr>
        <w:p w14:paraId="405C591C" w14:textId="77777777" w:rsidR="00D3261F" w:rsidRDefault="00D3261F">
          <w:pPr>
            <w:spacing w:after="0" w:line="240" w:lineRule="auto"/>
            <w:ind w:left="-115"/>
          </w:pPr>
        </w:p>
      </w:tc>
      <w:tc>
        <w:tcPr>
          <w:tcW w:w="2834" w:type="dxa"/>
        </w:tcPr>
        <w:p w14:paraId="405C591D" w14:textId="77777777" w:rsidR="00D3261F" w:rsidRDefault="00D3261F">
          <w:pPr>
            <w:spacing w:after="0" w:line="240" w:lineRule="auto"/>
            <w:jc w:val="center"/>
          </w:pPr>
        </w:p>
      </w:tc>
      <w:tc>
        <w:tcPr>
          <w:tcW w:w="2834" w:type="dxa"/>
        </w:tcPr>
        <w:p w14:paraId="405C591E" w14:textId="77777777" w:rsidR="00D3261F" w:rsidRDefault="00D3261F">
          <w:pPr>
            <w:spacing w:after="0" w:line="240" w:lineRule="auto"/>
            <w:ind w:right="-115"/>
            <w:jc w:val="right"/>
          </w:pPr>
        </w:p>
      </w:tc>
    </w:tr>
  </w:tbl>
  <w:p w14:paraId="405C5920" w14:textId="77777777" w:rsidR="00D3261F" w:rsidRDefault="00D3261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BDBB" w14:textId="77777777" w:rsidR="001D242E" w:rsidRDefault="001D242E">
      <w:pPr>
        <w:spacing w:after="0" w:line="240" w:lineRule="auto"/>
      </w:pPr>
      <w:r>
        <w:separator/>
      </w:r>
    </w:p>
  </w:footnote>
  <w:footnote w:type="continuationSeparator" w:id="0">
    <w:p w14:paraId="3A5CB900" w14:textId="77777777" w:rsidR="001D242E" w:rsidRDefault="001D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919" w14:textId="77777777" w:rsidR="00D3261F" w:rsidRDefault="001D24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t xml:space="preserve">                                                           </w:t>
    </w:r>
    <w:r>
      <w:rPr>
        <w:noProof/>
      </w:rPr>
      <w:drawing>
        <wp:inline distT="114300" distB="114300" distL="114300" distR="114300" wp14:anchorId="405C5921" wp14:editId="405C5922">
          <wp:extent cx="1554845" cy="853817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4845" cy="853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</w:t>
    </w:r>
  </w:p>
  <w:p w14:paraId="405C591A" w14:textId="77777777" w:rsidR="00D3261F" w:rsidRDefault="00D32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1E8"/>
    <w:multiLevelType w:val="multilevel"/>
    <w:tmpl w:val="0D38875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1F"/>
    <w:rsid w:val="00033BAB"/>
    <w:rsid w:val="001D242E"/>
    <w:rsid w:val="002D2622"/>
    <w:rsid w:val="00C17E6A"/>
    <w:rsid w:val="00D3261F"/>
    <w:rsid w:val="00E10B32"/>
    <w:rsid w:val="00E70D6F"/>
    <w:rsid w:val="00F778C5"/>
    <w:rsid w:val="00F976A3"/>
    <w:rsid w:val="25B98E8A"/>
    <w:rsid w:val="60B40525"/>
    <w:rsid w:val="78D69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8F7"/>
  <w15:docId w15:val="{8E288F50-A078-45A3-ACD9-14D75E9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2D2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ac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e.es/boe/dias/2021/05/21/pdfs/BOE-A-2021-8447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sa.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enac.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5DEC1-CC0A-4F79-B2AF-4895FA2F7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9E90D-79BF-45E8-9183-63B2BBDC3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2C1C6-50CD-497B-9644-71FF706C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8</cp:revision>
  <dcterms:created xsi:type="dcterms:W3CDTF">2022-02-03T09:42:00Z</dcterms:created>
  <dcterms:modified xsi:type="dcterms:W3CDTF">2022-02-11T07:53:00Z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