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BF1F96" w:rsidRDefault="00BF1F96" w14:paraId="672A6659" wp14:textId="77777777"/>
    <w:p xmlns:wp14="http://schemas.microsoft.com/office/word/2010/wordml" w:rsidR="00BF1F96" w:rsidRDefault="00BF1F96" w14:paraId="0A37501D" wp14:textId="77777777">
      <w:pPr>
        <w:jc w:val="center"/>
        <w:rPr>
          <w:rFonts w:ascii="Roboto" w:hAnsi="Roboto" w:eastAsia="Roboto" w:cs="Roboto"/>
          <w:b/>
          <w:sz w:val="34"/>
          <w:szCs w:val="34"/>
        </w:rPr>
      </w:pPr>
    </w:p>
    <w:p xmlns:wp14="http://schemas.microsoft.com/office/word/2010/wordml" w:rsidR="00BF1F96" w:rsidRDefault="00491591" w14:paraId="4B4A58DC" wp14:textId="77777777">
      <w:pPr>
        <w:jc w:val="center"/>
        <w:rPr>
          <w:rFonts w:ascii="Roboto" w:hAnsi="Roboto" w:eastAsia="Roboto" w:cs="Roboto"/>
          <w:b/>
          <w:sz w:val="36"/>
          <w:szCs w:val="36"/>
        </w:rPr>
      </w:pPr>
      <w:r>
        <w:rPr>
          <w:rFonts w:ascii="Roboto" w:hAnsi="Roboto" w:eastAsia="Roboto" w:cs="Roboto"/>
          <w:b/>
          <w:sz w:val="36"/>
          <w:szCs w:val="36"/>
        </w:rPr>
        <w:t>La acreditación ayuda a la simplificación administrativa en el Reglamento de Seguridad contra Incendios en Establecimientos Industriales</w:t>
      </w:r>
    </w:p>
    <w:p xmlns:wp14="http://schemas.microsoft.com/office/word/2010/wordml" w:rsidR="00BF1F96" w:rsidRDefault="00491591" w14:paraId="29D6B04F" wp14:textId="77777777">
      <w:pPr>
        <w:jc w:val="center"/>
        <w:rPr>
          <w:rFonts w:ascii="Roboto" w:hAnsi="Roboto" w:eastAsia="Roboto" w:cs="Roboto"/>
          <w:b/>
          <w:sz w:val="12"/>
          <w:szCs w:val="12"/>
        </w:rPr>
      </w:pPr>
      <w:r>
        <w:rPr>
          <w:rFonts w:ascii="Roboto" w:hAnsi="Roboto" w:eastAsia="Roboto" w:cs="Roboto"/>
          <w:b/>
          <w:sz w:val="34"/>
          <w:szCs w:val="34"/>
          <w:highlight w:val="white"/>
        </w:rPr>
        <w:t xml:space="preserve"> </w:t>
      </w:r>
    </w:p>
    <w:p xmlns:wp14="http://schemas.microsoft.com/office/word/2010/wordml" w:rsidR="00BF1F96" w:rsidRDefault="00491591" w14:paraId="68C851C5" wp14:textId="77777777">
      <w:pPr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b/>
          <w:sz w:val="22"/>
          <w:szCs w:val="22"/>
        </w:rPr>
      </w:pPr>
      <w:r>
        <w:rPr>
          <w:rFonts w:ascii="Roboto" w:hAnsi="Roboto" w:eastAsia="Roboto" w:cs="Roboto"/>
          <w:b/>
          <w:sz w:val="22"/>
          <w:szCs w:val="22"/>
        </w:rPr>
        <w:t>El nuevo Reglamento incorpora la posibilidad de que los organismos de control acreditados realicen inspecciones iniciales en establecimientos industriales y evalúen proyectos de soluciones técnicas alternativas o diseño prestacional, lo que supone una gestión administrativa más ágil</w:t>
      </w:r>
      <w:r>
        <w:rPr>
          <w:rFonts w:ascii="Roboto" w:hAnsi="Roboto" w:eastAsia="Roboto" w:cs="Roboto"/>
        </w:rPr>
        <w:t xml:space="preserve"> </w:t>
      </w:r>
    </w:p>
    <w:p xmlns:wp14="http://schemas.microsoft.com/office/word/2010/wordml" w:rsidR="00BF1F96" w:rsidRDefault="00BF1F96" w14:paraId="5DAB6C7B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b/>
          <w:sz w:val="22"/>
          <w:szCs w:val="22"/>
        </w:rPr>
      </w:pPr>
    </w:p>
    <w:p xmlns:wp14="http://schemas.microsoft.com/office/word/2010/wordml" w:rsidR="00BF1F96" w:rsidRDefault="00491591" w14:paraId="0A6959E7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ind w:left="720"/>
        <w:jc w:val="both"/>
        <w:rPr>
          <w:rFonts w:ascii="Roboto" w:hAnsi="Roboto" w:eastAsia="Roboto" w:cs="Roboto"/>
          <w:sz w:val="22"/>
          <w:szCs w:val="22"/>
        </w:rPr>
      </w:pPr>
      <w:r w:rsidRPr="74DB2B1D" w:rsidR="00491591">
        <w:rPr>
          <w:rFonts w:ascii="Roboto" w:hAnsi="Roboto" w:eastAsia="Roboto" w:cs="Roboto"/>
          <w:sz w:val="22"/>
          <w:szCs w:val="22"/>
        </w:rPr>
        <w:t xml:space="preserve"> </w:t>
      </w:r>
    </w:p>
    <w:p w:rsidR="74DB2B1D" w:rsidP="74DB2B1D" w:rsidRDefault="74DB2B1D" w14:paraId="1FA9EC7A" w14:textId="6D8293A3">
      <w:pPr>
        <w:shd w:val="clear" w:color="auto" w:fill="FFFFFF" w:themeFill="background1"/>
        <w:spacing w:before="0" w:beforeAutospacing="off" w:after="0" w:afterAutospacing="off"/>
        <w:ind w:left="720" w:right="0"/>
        <w:jc w:val="both"/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</w:pPr>
    </w:p>
    <w:p w:rsidR="68CB2815" w:rsidP="74DB2B1D" w:rsidRDefault="68CB2815" w14:paraId="53DA7D7C" w14:textId="14680949">
      <w:pPr>
        <w:shd w:val="clear" w:color="auto" w:fill="FFFFFF" w:themeFill="background1"/>
        <w:spacing w:before="0" w:beforeAutospacing="off" w:after="0" w:afterAutospacing="off"/>
        <w:jc w:val="both"/>
      </w:pPr>
      <w:r w:rsidRPr="74DB2B1D" w:rsidR="68CB2815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"/>
        </w:rPr>
        <w:t xml:space="preserve">Madrid, 30 de julio de 2025.- El  </w:t>
      </w:r>
      <w:hyperlink r:id="R8012aaf2358f4a37">
        <w:r w:rsidRPr="74DB2B1D" w:rsidR="68CB2815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strike w:val="0"/>
            <w:dstrike w:val="0"/>
            <w:noProof w:val="0"/>
            <w:color w:val="000000" w:themeColor="text1" w:themeTint="FF" w:themeShade="FF"/>
            <w:sz w:val="24"/>
            <w:szCs w:val="24"/>
            <w:u w:val="none"/>
            <w:lang w:val="es"/>
          </w:rPr>
          <w:t>RD 164/2025</w:t>
        </w:r>
      </w:hyperlink>
      <w:r w:rsidRPr="74DB2B1D" w:rsidR="68CB2815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"/>
        </w:rPr>
        <w:t xml:space="preserve">  publicado por el Ministerio de la Presidencia, Justicia y Relaciones con las Cortes aprueba, entre otros, el nuevo Reglamento de Seguridad contra Incendios en Establecimientos Industriales (RSCIEI), modifica el </w:t>
      </w:r>
      <w:r w:rsidRPr="74DB2B1D" w:rsidR="68CB2815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"/>
        </w:rPr>
        <w:t>Reglamento de Instalaciones de Protección contra Incendios (RIPCI)</w:t>
      </w:r>
      <w:r w:rsidRPr="74DB2B1D" w:rsidR="68CB2815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"/>
        </w:rPr>
        <w:t xml:space="preserve"> y establece el desarrollo de guías técnicas no vinculantes para la aplicación práctica de las disposiciones del RD, como la </w:t>
      </w:r>
      <w:hyperlink r:id="Rcd9570da9f294e14">
        <w:r w:rsidRPr="74DB2B1D" w:rsidR="68CB2815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strike w:val="0"/>
            <w:dstrike w:val="0"/>
            <w:noProof w:val="0"/>
            <w:color w:val="000000" w:themeColor="text1" w:themeTint="FF" w:themeShade="FF"/>
            <w:sz w:val="24"/>
            <w:szCs w:val="24"/>
            <w:u w:val="none"/>
            <w:lang w:val="es"/>
          </w:rPr>
          <w:t>Guía Técnica de aplicación de Soluciones Técnicas Alternativas</w:t>
        </w:r>
      </w:hyperlink>
      <w:r w:rsidRPr="74DB2B1D" w:rsidR="68CB2815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"/>
        </w:rPr>
        <w:t xml:space="preserve"> que ha sido publicada por la Dirección General de Estrategia Industrial y de la Pequeña y Mediana Empresa.</w:t>
      </w:r>
    </w:p>
    <w:p w:rsidR="74DB2B1D" w:rsidP="74DB2B1D" w:rsidRDefault="74DB2B1D" w14:paraId="525D98B7" w14:textId="68D42D5D">
      <w:pPr>
        <w:shd w:val="clear" w:color="auto" w:fill="FFFFFF" w:themeFill="background1"/>
        <w:spacing w:before="0" w:beforeAutospacing="off" w:after="0" w:afterAutospacing="off"/>
        <w:jc w:val="both"/>
      </w:pPr>
    </w:p>
    <w:p w:rsidR="68CB2815" w:rsidP="74DB2B1D" w:rsidRDefault="68CB2815" w14:paraId="02D88FF7" w14:textId="6251422A">
      <w:pPr>
        <w:shd w:val="clear" w:color="auto" w:fill="FFFFFF" w:themeFill="background1"/>
        <w:spacing w:before="0" w:beforeAutospacing="off" w:after="160" w:afterAutospacing="off"/>
        <w:jc w:val="both"/>
      </w:pPr>
      <w:r w:rsidRPr="74DB2B1D" w:rsidR="68CB2815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"/>
        </w:rPr>
        <w:t xml:space="preserve">Entre las novedades, destaca la posibilidad de que los organismos de control acreditados por ENAC, la </w:t>
      </w:r>
      <w:hyperlink r:id="Rad3fca2bf18549f9">
        <w:r w:rsidRPr="74DB2B1D" w:rsidR="68CB2815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none"/>
            <w:lang w:val="es"/>
          </w:rPr>
          <w:t>Entidad Nacional de Acreditación</w:t>
        </w:r>
      </w:hyperlink>
      <w:r w:rsidRPr="74DB2B1D" w:rsidR="68CB2815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"/>
        </w:rPr>
        <w:t>, realicen inspecciones iniciales en establecimientos industriales y evalúen proyectos de soluciones técnicas alternativas o diseño prestacional, lo que supone una gestión administrativa más ágil y simplificada del proceso de legalización de las instalaciones.</w:t>
      </w:r>
    </w:p>
    <w:p w:rsidR="74DB2B1D" w:rsidP="74DB2B1D" w:rsidRDefault="74DB2B1D" w14:paraId="1ADD716E" w14:textId="4677017E">
      <w:pPr>
        <w:jc w:val="both"/>
      </w:pPr>
    </w:p>
    <w:p xmlns:wp14="http://schemas.microsoft.com/office/word/2010/wordml" w:rsidR="00BF1F96" w:rsidP="1192E752" w:rsidRDefault="00491591" w14:paraId="539087D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160"/>
        <w:jc w:val="both"/>
        <w:rPr>
          <w:rFonts w:ascii="Roboto" w:hAnsi="Roboto" w:eastAsia="Roboto" w:cs="Roboto"/>
          <w:lang w:val="es-ES"/>
        </w:rPr>
      </w:pPr>
      <w:r w:rsidRPr="1192E752" w:rsidR="00491591">
        <w:rPr>
          <w:rFonts w:ascii="Roboto" w:hAnsi="Roboto" w:eastAsia="Roboto" w:cs="Roboto"/>
          <w:lang w:val="es-ES"/>
        </w:rPr>
        <w:t xml:space="preserve">Se trata de un ejemplo más de cómo, cada vez con mayor frecuencia, </w:t>
      </w:r>
      <w:r w:rsidRPr="1192E752" w:rsidR="00491591">
        <w:rPr>
          <w:rFonts w:ascii="Roboto" w:hAnsi="Roboto" w:eastAsia="Roboto" w:cs="Roboto"/>
          <w:b w:val="1"/>
          <w:bCs w:val="1"/>
          <w:lang w:val="es-ES"/>
        </w:rPr>
        <w:t xml:space="preserve">administraciones públicas autonómicas, nacionales e internacionales confían en la acreditación como mecanismo para la consecución de sus políticas públicas, </w:t>
      </w:r>
      <w:r w:rsidRPr="1192E752" w:rsidR="00491591">
        <w:rPr>
          <w:rFonts w:ascii="Roboto" w:hAnsi="Roboto" w:eastAsia="Roboto" w:cs="Roboto"/>
          <w:lang w:val="es-ES"/>
        </w:rPr>
        <w:t>favoreciendo la simplificación administrativa con nuevas técnicas de regulación más ágiles, eficientes y flexibles, al tiempo que se asegura la fiabilidad de las actividades con un impacto en la confianza pública y preservando la seguridad jurídica: “Con esto se pretende agilizar, mejorar y profesionalizar esta vía, cuyo uso es cada vez más habitual”, c</w:t>
      </w:r>
      <w:r w:rsidRPr="1192E752" w:rsidR="00491591">
        <w:rPr>
          <w:rFonts w:ascii="Roboto" w:hAnsi="Roboto" w:eastAsia="Roboto" w:cs="Roboto"/>
          <w:lang w:val="es-ES"/>
        </w:rPr>
        <w:t>ita el documento.</w:t>
      </w:r>
    </w:p>
    <w:p xmlns:wp14="http://schemas.microsoft.com/office/word/2010/wordml" w:rsidR="00BF1F96" w:rsidRDefault="00BF1F96" w14:paraId="6A05A809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BF1F96" w:rsidRDefault="00491591" w14:paraId="69A1FD12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color w:val="E83544"/>
        </w:rPr>
      </w:pPr>
      <w:r>
        <w:rPr>
          <w:rFonts w:ascii="Roboto" w:hAnsi="Roboto" w:eastAsia="Roboto" w:cs="Roboto"/>
          <w:b/>
          <w:color w:val="E83544"/>
        </w:rPr>
        <w:t>Sobre ENAC</w:t>
      </w:r>
      <w:r>
        <w:rPr>
          <w:rFonts w:ascii="Roboto" w:hAnsi="Roboto" w:eastAsia="Roboto" w:cs="Roboto"/>
          <w:color w:val="E83544"/>
        </w:rPr>
        <w:t xml:space="preserve"> </w:t>
      </w:r>
    </w:p>
    <w:p xmlns:wp14="http://schemas.microsoft.com/office/word/2010/wordml" w:rsidR="00BF1F96" w:rsidRDefault="00491591" w14:paraId="3DBFD2A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xmlns:wp14="http://schemas.microsoft.com/office/word/2010/wordml" w:rsidR="00BF1F96" w:rsidRDefault="00BF1F96" w14:paraId="5A39BBE3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BF1F96" w:rsidRDefault="00BF1F96" w14:paraId="41C8F396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BF1F96" w:rsidRDefault="00491591" w14:paraId="121F981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</w:t>
      </w:r>
      <w:r>
        <w:rPr>
          <w:rFonts w:ascii="Roboto" w:hAnsi="Roboto" w:eastAsia="Roboto" w:cs="Roboto"/>
        </w:rPr>
        <w:t xml:space="preserve">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xmlns:wp14="http://schemas.microsoft.com/office/word/2010/wordml" w:rsidR="00BF1F96" w:rsidRDefault="00BF1F96" w14:paraId="0D0B940D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</w:rPr>
      </w:pPr>
    </w:p>
    <w:p xmlns:wp14="http://schemas.microsoft.com/office/word/2010/wordml" w:rsidR="00BF1F96" w:rsidRDefault="00491591" w14:paraId="54638B6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xmlns:wp14="http://schemas.microsoft.com/office/word/2010/wordml" w:rsidR="00BF1F96" w:rsidRDefault="00BF1F96" w14:paraId="0E27B00A" wp14:textId="77777777">
      <w:pPr>
        <w:jc w:val="both"/>
        <w:rPr>
          <w:rFonts w:ascii="Roboto" w:hAnsi="Roboto" w:eastAsia="Roboto" w:cs="Roboto"/>
        </w:rPr>
      </w:pPr>
    </w:p>
    <w:p xmlns:wp14="http://schemas.microsoft.com/office/word/2010/wordml" w:rsidR="00BF1F96" w:rsidRDefault="00491591" w14:paraId="72ADE443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</w:rPr>
      </w:pPr>
      <w:hyperlink r:id="rId12">
        <w:r>
          <w:rPr>
            <w:rFonts w:ascii="Roboto" w:hAnsi="Roboto" w:eastAsia="Roboto" w:cs="Roboto"/>
            <w:color w:val="E83544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</w:rPr>
        <w:t xml:space="preserve"> </w:t>
      </w:r>
    </w:p>
    <w:p xmlns:wp14="http://schemas.microsoft.com/office/word/2010/wordml" w:rsidR="00BF1F96" w:rsidRDefault="00BF1F96" w14:paraId="60061E4C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</w:rPr>
      </w:pPr>
    </w:p>
    <w:p xmlns:wp14="http://schemas.microsoft.com/office/word/2010/wordml" w:rsidR="00BF1F96" w:rsidRDefault="00491591" w14:paraId="0DFAE634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  <w:color w:val="0000FF"/>
        </w:rPr>
        <w:t xml:space="preserve"> </w:t>
      </w:r>
      <w:r>
        <w:rPr>
          <w:rFonts w:ascii="Roboto" w:hAnsi="Roboto" w:eastAsia="Roboto" w:cs="Roboto"/>
          <w:noProof/>
          <w:color w:val="0000FF"/>
        </w:rPr>
        <w:drawing>
          <wp:inline xmlns:wp14="http://schemas.microsoft.com/office/word/2010/wordprocessingDrawing" distT="114300" distB="114300" distL="114300" distR="114300" wp14:anchorId="35543512" wp14:editId="7777777">
            <wp:extent cx="297039" cy="297039"/>
            <wp:effectExtent l="0" t="0" r="0" b="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</w:rPr>
        <w:t xml:space="preserve"> </w:t>
      </w:r>
      <w:r>
        <w:rPr>
          <w:rFonts w:ascii="Roboto" w:hAnsi="Roboto" w:eastAsia="Roboto" w:cs="Roboto"/>
          <w:noProof/>
          <w:color w:val="0000FF"/>
        </w:rPr>
        <w:drawing>
          <wp:inline xmlns:wp14="http://schemas.microsoft.com/office/word/2010/wordprocessingDrawing" distT="0" distB="0" distL="0" distR="0" wp14:anchorId="03E80388" wp14:editId="7777777">
            <wp:extent cx="304800" cy="304800"/>
            <wp:effectExtent l="0" t="0" r="0" b="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BF1F96" w:rsidRDefault="00BF1F96" w14:paraId="44EAFD9C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</w:rPr>
      </w:pPr>
    </w:p>
    <w:p xmlns:wp14="http://schemas.microsoft.com/office/word/2010/wordml" w:rsidR="00BF1F96" w:rsidRDefault="00BF1F96" w14:paraId="4B94D5A5" wp14:textId="77777777">
      <w:pPr>
        <w:jc w:val="both"/>
        <w:rPr>
          <w:rFonts w:ascii="Roboto" w:hAnsi="Roboto" w:eastAsia="Roboto" w:cs="Roboto"/>
          <w:color w:val="E83544"/>
        </w:rPr>
      </w:pPr>
    </w:p>
    <w:p xmlns:wp14="http://schemas.microsoft.com/office/word/2010/wordml" w:rsidR="00BF1F96" w:rsidRDefault="00491591" w14:paraId="70AF4A84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Para más información sobre la nota de prensa, resolver dudas o gestionar entrevistas</w:t>
      </w:r>
    </w:p>
    <w:p xmlns:wp14="http://schemas.microsoft.com/office/word/2010/wordml" w:rsidR="00BF1F96" w:rsidRDefault="00491591" w14:paraId="527B165C" wp14:textId="77777777">
      <w:p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Eva Martín</w:t>
      </w:r>
    </w:p>
    <w:p xmlns:wp14="http://schemas.microsoft.com/office/word/2010/wordml" w:rsidR="00BF1F96" w:rsidRDefault="00491591" w14:paraId="0B05E5D0" wp14:textId="77777777">
      <w:pPr>
        <w:jc w:val="both"/>
        <w:rPr>
          <w:rFonts w:ascii="Calibri" w:hAnsi="Calibri" w:eastAsia="Calibri" w:cs="Calibri"/>
          <w:sz w:val="26"/>
          <w:szCs w:val="26"/>
          <w:highlight w:val="white"/>
        </w:rPr>
      </w:pPr>
      <w:r>
        <w:rPr>
          <w:rFonts w:ascii="Roboto" w:hAnsi="Roboto" w:eastAsia="Roboto" w:cs="Roboto"/>
        </w:rPr>
        <w:t xml:space="preserve">Tfno. 628 17 49 01 / </w:t>
      </w:r>
      <w:r>
        <w:rPr>
          <w:rFonts w:ascii="Roboto" w:hAnsi="Roboto" w:eastAsia="Roboto" w:cs="Roboto"/>
          <w:color w:val="E83544"/>
        </w:rPr>
        <w:t xml:space="preserve"> </w:t>
      </w:r>
      <w:hyperlink r:id="rId15">
        <w:r>
          <w:rPr>
            <w:rFonts w:ascii="Roboto" w:hAnsi="Roboto" w:eastAsia="Roboto" w:cs="Roboto"/>
            <w:color w:val="E83544"/>
            <w:u w:val="single"/>
          </w:rPr>
          <w:t>evamc@varenga.es</w:t>
        </w:r>
      </w:hyperlink>
    </w:p>
    <w:sectPr w:rsidR="00BF1F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91591" w:rsidRDefault="00491591" w14:paraId="62486C05" wp14:textId="77777777">
      <w:r>
        <w:separator/>
      </w:r>
    </w:p>
  </w:endnote>
  <w:endnote w:type="continuationSeparator" w:id="0">
    <w:p xmlns:wp14="http://schemas.microsoft.com/office/word/2010/wordml" w:rsidR="00491591" w:rsidRDefault="00491591" w14:paraId="4101652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DE1383AA-0015-487A-A8D2-71BE6A799C87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55FBDBF-7EA8-4AA8-AAAD-801C66680D28}" r:id="rId2"/>
    <w:embedItalic w:fontKey="{88BCE081-C2C9-42B8-A60F-E933DA99E93D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535BD6C6-8B0F-423A-8A37-290775F0B959}" r:id="rId4"/>
    <w:embedBold w:fontKey="{AD2709D9-CF05-47F7-BC1F-E5FD7EA80D15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C88822E-DAA9-49CC-A6E6-9920FEC0ECEF}" r:id="rId6"/>
    <w:embedBold w:fontKey="{49982C9E-D175-474A-BAA0-CEB77F83757E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43FA0D-CBCA-4537-9DFC-06CF84A924AB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F1F96" w:rsidRDefault="00BF1F96" w14:paraId="3DEEC669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F1F96" w:rsidRDefault="00491591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BF1F96" w:rsidRDefault="00BF1F96" w14:paraId="4B99056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F1F96" w:rsidRDefault="00BF1F96" w14:paraId="3656B9AB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91591" w:rsidRDefault="00491591" w14:paraId="1299C43A" wp14:textId="77777777">
      <w:r>
        <w:separator/>
      </w:r>
    </w:p>
  </w:footnote>
  <w:footnote w:type="continuationSeparator" w:id="0">
    <w:p xmlns:wp14="http://schemas.microsoft.com/office/word/2010/wordml" w:rsidR="00491591" w:rsidRDefault="00491591" w14:paraId="4DDBEF00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F1F96" w:rsidRDefault="00BF1F96" w14:paraId="049F31CB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BF1F96" w:rsidRDefault="00491591" w14:paraId="74A0A1D3" wp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3F49048A" wp14:editId="7777777">
          <wp:simplePos x="0" y="0"/>
          <wp:positionH relativeFrom="column">
            <wp:posOffset>4114800</wp:posOffset>
          </wp:positionH>
          <wp:positionV relativeFrom="paragraph">
            <wp:posOffset>-304772</wp:posOffset>
          </wp:positionV>
          <wp:extent cx="1547842" cy="997267"/>
          <wp:effectExtent l="0" t="0" r="0" b="0"/>
          <wp:wrapSquare wrapText="bothSides" distT="114300" distB="114300" distL="114300" distR="114300"/>
          <wp:docPr id="3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BF1F96" w:rsidRDefault="00491591" w14:paraId="12ECC7C7" wp14:textId="77777777">
    <w:pPr>
      <w:ind w:left="-120"/>
      <w:jc w:val="both"/>
      <w:rPr>
        <w:rFonts w:ascii="Roboto" w:hAnsi="Roboto" w:eastAsia="Roboto" w:cs="Roboto"/>
        <w:sz w:val="22"/>
        <w:szCs w:val="22"/>
      </w:rPr>
    </w:pPr>
    <w:r>
      <w:rPr>
        <w:rFonts w:ascii="Roboto" w:hAnsi="Roboto" w:eastAsia="Roboto" w:cs="Roboto"/>
        <w:b/>
        <w:sz w:val="40"/>
        <w:szCs w:val="40"/>
      </w:rPr>
      <w:t>NOTA DE PRENSA</w:t>
    </w:r>
    <w:r>
      <w:rPr>
        <w:rFonts w:ascii="Roboto" w:hAnsi="Roboto" w:eastAsia="Roboto" w:cs="Roboto"/>
        <w:sz w:val="22"/>
        <w:szCs w:val="22"/>
      </w:rPr>
      <w:t xml:space="preserve"> </w:t>
    </w:r>
  </w:p>
  <w:p xmlns:wp14="http://schemas.microsoft.com/office/word/2010/wordml" w:rsidR="00BF1F96" w:rsidRDefault="00BF1F96" w14:paraId="45FB0818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BF1F96" w:rsidRDefault="00BF1F96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1C00E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378663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F96"/>
    <w:rsid w:val="002865D9"/>
    <w:rsid w:val="00491591"/>
    <w:rsid w:val="00BF1F96"/>
    <w:rsid w:val="1192E752"/>
    <w:rsid w:val="418CCD14"/>
    <w:rsid w:val="66FD6EC7"/>
    <w:rsid w:val="68CB2815"/>
    <w:rsid w:val="74DB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073E95"/>
  <w15:docId w15:val="{DB82B735-9EA9-4735-A4E0-DFFE56A716A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a" w:customStyle="1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Fuentedeprrafopredeter"/>
    <w:unhideWhenUsed/>
    <w:rsid w:val="74DB2B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3.xml" Id="rId21" /><Relationship Type="http://schemas.openxmlformats.org/officeDocument/2006/relationships/settings" Target="settings.xml" Id="rId7" /><Relationship Type="http://schemas.openxmlformats.org/officeDocument/2006/relationships/hyperlink" Target="http://www.enac.es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yperlink" Target="mailto:evamc@varenga.es" TargetMode="Externa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fontTable" Target="fontTable.xml" Id="rId22" /><Relationship Type="http://schemas.openxmlformats.org/officeDocument/2006/relationships/hyperlink" Target="https://www.boe.es/diario_boe/txt.php?id=BOE-A-2025-7190" TargetMode="External" Id="R8012aaf2358f4a37" /><Relationship Type="http://schemas.openxmlformats.org/officeDocument/2006/relationships/hyperlink" Target="https://industria.gob.es/Calidad-Industrial/seguridadindustrial/instalacionesindustriales/seguridad-incendios/Documents/Guia-soluciones-alternativas_RIPCI_RSCIEI.pdf" TargetMode="External" Id="Rcd9570da9f294e14" /><Relationship Type="http://schemas.openxmlformats.org/officeDocument/2006/relationships/hyperlink" Target="https://www.enac.es/" TargetMode="External" Id="Rad3fca2bf18549f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C76+1JfI3KNVT0S5YOvxgyyd5g==">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E2693-303A-466A-8266-6B54E9797E05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35A30E6C-DB74-497D-8664-475A539B52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9645DB-01BD-4083-8B41-94D0F15DA6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Eva Martín</lastModifiedBy>
  <revision>3</revision>
  <dcterms:created xsi:type="dcterms:W3CDTF">2025-07-29T11:36:00.0000000Z</dcterms:created>
  <dcterms:modified xsi:type="dcterms:W3CDTF">2025-07-30T09:48:01.3583259Z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