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C537" w14:textId="77777777" w:rsidR="006B2E30" w:rsidRDefault="006B2E30">
      <w:pPr>
        <w:jc w:val="center"/>
        <w:rPr>
          <w:b/>
          <w:sz w:val="32"/>
          <w:szCs w:val="32"/>
        </w:rPr>
      </w:pPr>
    </w:p>
    <w:p w14:paraId="0019C538" w14:textId="77777777" w:rsidR="006B2E30" w:rsidRDefault="005D0705">
      <w:pPr>
        <w:jc w:val="center"/>
        <w:rPr>
          <w:b/>
          <w:sz w:val="34"/>
          <w:szCs w:val="34"/>
        </w:rPr>
      </w:pPr>
      <w:r>
        <w:rPr>
          <w:b/>
          <w:sz w:val="32"/>
          <w:szCs w:val="32"/>
        </w:rPr>
        <w:t>Rohde &amp; Schwarz España, primer acreditado por ENAC para la calibración de receptores de pruebas de interferencia electromagnética</w:t>
      </w:r>
    </w:p>
    <w:p w14:paraId="0019C539" w14:textId="48EACE06" w:rsidR="006B2E30" w:rsidRDefault="005D0705" w:rsidP="65392C3F">
      <w:pPr>
        <w:numPr>
          <w:ilvl w:val="0"/>
          <w:numId w:val="2"/>
        </w:numPr>
        <w:spacing w:after="160"/>
        <w:jc w:val="both"/>
        <w:rPr>
          <w:b/>
          <w:bCs/>
        </w:rPr>
      </w:pPr>
      <w:r w:rsidRPr="65392C3F">
        <w:rPr>
          <w:b/>
          <w:bCs/>
        </w:rPr>
        <w:t>Al obtener la acreditación</w:t>
      </w:r>
      <w:r w:rsidR="008B0E25" w:rsidRPr="65392C3F">
        <w:rPr>
          <w:b/>
          <w:bCs/>
        </w:rPr>
        <w:t>,</w:t>
      </w:r>
      <w:r>
        <w:t xml:space="preserve"> </w:t>
      </w:r>
      <w:r w:rsidRPr="65392C3F">
        <w:rPr>
          <w:b/>
          <w:bCs/>
        </w:rPr>
        <w:t xml:space="preserve">su laboratorio de calibración está en disposición de aportar a las empresas seguridad en los resultados que les proporcionan sus equipos de medida </w:t>
      </w:r>
    </w:p>
    <w:p w14:paraId="0019C53A" w14:textId="54A9B4AF" w:rsidR="006B2E30" w:rsidRDefault="005D0705" w:rsidP="65392C3F">
      <w:pPr>
        <w:numPr>
          <w:ilvl w:val="0"/>
          <w:numId w:val="1"/>
        </w:numPr>
        <w:jc w:val="both"/>
        <w:rPr>
          <w:b/>
          <w:bCs/>
        </w:rPr>
      </w:pPr>
      <w:r w:rsidRPr="65392C3F">
        <w:rPr>
          <w:b/>
          <w:bCs/>
        </w:rPr>
        <w:t>“</w:t>
      </w:r>
      <w:r w:rsidR="005640E3" w:rsidRPr="65392C3F">
        <w:rPr>
          <w:b/>
          <w:bCs/>
        </w:rPr>
        <w:t>El ser fabricante de este tipo de equipos requiere poder ofrecer servicios de calibración acreditados, especialmente para el parque de equipos español</w:t>
      </w:r>
      <w:r w:rsidRPr="65392C3F">
        <w:rPr>
          <w:b/>
          <w:bCs/>
        </w:rPr>
        <w:t xml:space="preserve">”, Gabriel Pérez Berenguer, </w:t>
      </w:r>
      <w:proofErr w:type="gramStart"/>
      <w:r w:rsidRPr="65392C3F">
        <w:rPr>
          <w:b/>
          <w:bCs/>
        </w:rPr>
        <w:t>Responsable</w:t>
      </w:r>
      <w:proofErr w:type="gramEnd"/>
      <w:r w:rsidRPr="65392C3F">
        <w:rPr>
          <w:b/>
          <w:bCs/>
        </w:rPr>
        <w:t xml:space="preserve"> de Calibración EMC en Rohde &amp; Schwarz España</w:t>
      </w:r>
    </w:p>
    <w:p w14:paraId="0019C53B" w14:textId="5A72C283" w:rsidR="006B2E30" w:rsidRDefault="005D0705" w:rsidP="3532FBD0">
      <w:pPr>
        <w:jc w:val="both"/>
        <w:rPr>
          <w:b/>
          <w:bCs/>
        </w:rPr>
      </w:pPr>
      <w:r w:rsidRPr="3532FBD0">
        <w:t>Madrid, 1</w:t>
      </w:r>
      <w:r w:rsidR="4D475873" w:rsidRPr="3532FBD0">
        <w:t>4</w:t>
      </w:r>
      <w:r w:rsidRPr="3532FBD0">
        <w:t xml:space="preserve"> de julio de 2021.- La </w:t>
      </w:r>
      <w:hyperlink r:id="rId10">
        <w:r w:rsidRPr="3532FBD0">
          <w:rPr>
            <w:b/>
            <w:bCs/>
            <w:color w:val="1155CC"/>
            <w:u w:val="single"/>
          </w:rPr>
          <w:t>Entidad Nacional de Acreditación</w:t>
        </w:r>
      </w:hyperlink>
      <w:r w:rsidRPr="3532FBD0">
        <w:t xml:space="preserve"> (ENAC) ha concedido a </w:t>
      </w:r>
      <w:r w:rsidRPr="3532FBD0">
        <w:rPr>
          <w:b/>
          <w:bCs/>
        </w:rPr>
        <w:t>Rohde &amp; Schwarz España la primera acreditación</w:t>
      </w:r>
      <w:r w:rsidRPr="3532FBD0">
        <w:t xml:space="preserve"> conforme a la norma internacional UNE-EN ISO/IEC 17025 para la calibración de receptores de pruebas de interferencia electromagnética (EMI, en sus siglas en inglés) </w:t>
      </w:r>
      <w:r w:rsidRPr="3532FBD0">
        <w:rPr>
          <w:b/>
          <w:bCs/>
        </w:rPr>
        <w:t>usados en la certificación de productos conforme a los estándares comerciales de compatibilidad electromagnética (EMC).</w:t>
      </w:r>
    </w:p>
    <w:p w14:paraId="0019C53C" w14:textId="4372D839" w:rsidR="006B2E30" w:rsidRDefault="005D0705" w:rsidP="3532FBD0">
      <w:pPr>
        <w:spacing w:after="160"/>
        <w:jc w:val="both"/>
      </w:pPr>
      <w:r w:rsidRPr="30F67DF1">
        <w:t xml:space="preserve">Al superar con éxito la evaluación de ENAC y obtener la acreditación, el laboratorio de calibración Rohde &amp; Schwarz España ha demostrado que sus servicios de calibración de receptores EMI son técnicamente competentes. Con ello, </w:t>
      </w:r>
      <w:r w:rsidRPr="30F67DF1">
        <w:rPr>
          <w:b/>
          <w:bCs/>
        </w:rPr>
        <w:t>están en disposición de aportar a las empresas seguridad en los resultados que les proporcionan sus equipos de medida utilizados en actividades claves</w:t>
      </w:r>
      <w:r w:rsidRPr="30F67DF1">
        <w:t>, como asegurar la calidad o la seguridad de sus productos, al dotar de fiabilidad a los resultados de sus medidas aportándoles trazabilidad metrológica.</w:t>
      </w:r>
    </w:p>
    <w:p w14:paraId="0019C53D" w14:textId="77777777" w:rsidR="006B2E30" w:rsidRDefault="005D0705" w:rsidP="3532FBD0">
      <w:pPr>
        <w:spacing w:after="160"/>
        <w:jc w:val="both"/>
      </w:pPr>
      <w:r w:rsidRPr="3532FBD0">
        <w:t xml:space="preserve">Gabriel Pérez Berenguer, </w:t>
      </w:r>
      <w:proofErr w:type="gramStart"/>
      <w:r w:rsidRPr="3532FBD0">
        <w:t>Responsable</w:t>
      </w:r>
      <w:proofErr w:type="gramEnd"/>
      <w:r w:rsidRPr="3532FBD0">
        <w:t xml:space="preserve"> de Calibración EMC en Rohde &amp; Schwarz España, explica el alcance de la acreditación obtenida: “Estos ensayos tienen la función de </w:t>
      </w:r>
      <w:r w:rsidRPr="3532FBD0">
        <w:rPr>
          <w:b/>
          <w:bCs/>
        </w:rPr>
        <w:t>garantizar la idoneidad de un producto desde el punto de vista electromagnético, atendiendo a una serie de normas y en un mercado concreto</w:t>
      </w:r>
      <w:r w:rsidRPr="3532FBD0">
        <w:t xml:space="preserve">, </w:t>
      </w:r>
      <w:r w:rsidRPr="3532FBD0">
        <w:rPr>
          <w:b/>
          <w:bCs/>
        </w:rPr>
        <w:t>como puede ser el europeo</w:t>
      </w:r>
      <w:r w:rsidRPr="3532FBD0">
        <w:t xml:space="preserve">. Los equipos sobre los que se realizan estos ensayos son muy variopintos, </w:t>
      </w:r>
      <w:r w:rsidRPr="3532FBD0">
        <w:rPr>
          <w:b/>
          <w:bCs/>
        </w:rPr>
        <w:t>desde un cargador de teléfono móvil hasta una cabeza tractora de camión</w:t>
      </w:r>
      <w:r w:rsidRPr="3532FBD0">
        <w:t xml:space="preserve">. Todos ellos tienen en común que pueden emitir radiación electromagnética o ser susceptibles a ellas, bien sea a través de cables o de otro medio como es el aire”. </w:t>
      </w:r>
    </w:p>
    <w:p w14:paraId="0019C53E" w14:textId="7D6DFC54" w:rsidR="006B2E30" w:rsidRDefault="005D0705" w:rsidP="3532FBD0">
      <w:pPr>
        <w:jc w:val="both"/>
      </w:pPr>
      <w:r w:rsidRPr="3532FBD0">
        <w:t xml:space="preserve">Sobre los motivos que </w:t>
      </w:r>
      <w:r w:rsidR="59FF1BC3" w:rsidRPr="3532FBD0">
        <w:t>los</w:t>
      </w:r>
      <w:r w:rsidRPr="3532FBD0">
        <w:t xml:space="preserve"> han llevado a apostar por la acreditación, Pérez apunta </w:t>
      </w:r>
      <w:r w:rsidR="00AE30D6" w:rsidRPr="3532FBD0">
        <w:t>que</w:t>
      </w:r>
      <w:r w:rsidRPr="3532FBD0">
        <w:t xml:space="preserve"> “la industria necesita poner en el mercado una gran cantidad de productos electrónicos con tiempos “time-</w:t>
      </w:r>
      <w:proofErr w:type="spellStart"/>
      <w:r w:rsidRPr="3532FBD0">
        <w:t>to</w:t>
      </w:r>
      <w:proofErr w:type="spellEnd"/>
      <w:r w:rsidRPr="3532FBD0">
        <w:t>-</w:t>
      </w:r>
      <w:proofErr w:type="spellStart"/>
      <w:r w:rsidRPr="3532FBD0">
        <w:t>market</w:t>
      </w:r>
      <w:proofErr w:type="spellEnd"/>
      <w:r w:rsidRPr="3532FBD0">
        <w:t>” cada vez más reducidos</w:t>
      </w:r>
      <w:r w:rsidR="00BB6ABF" w:rsidRPr="3532FBD0">
        <w:t>”, lo que</w:t>
      </w:r>
      <w:r w:rsidRPr="3532FBD0">
        <w:t xml:space="preserve"> implica </w:t>
      </w:r>
      <w:r w:rsidR="008F7176" w:rsidRPr="3532FBD0">
        <w:t>“</w:t>
      </w:r>
      <w:r w:rsidRPr="3532FBD0">
        <w:t>una alta demanda de ensayos, lo que a su vez impulsa la venta de receptores</w:t>
      </w:r>
      <w:r w:rsidR="008F7176" w:rsidRPr="3532FBD0">
        <w:t>”</w:t>
      </w:r>
      <w:r w:rsidRPr="3532FBD0">
        <w:t xml:space="preserve">. </w:t>
      </w:r>
    </w:p>
    <w:p w14:paraId="414BCF77" w14:textId="564B5AA1" w:rsidR="007E5CB2" w:rsidRDefault="005D0705" w:rsidP="3532FBD0">
      <w:pPr>
        <w:jc w:val="both"/>
      </w:pPr>
      <w:r w:rsidRPr="5FC47C8E">
        <w:t xml:space="preserve">Para el </w:t>
      </w:r>
      <w:proofErr w:type="gramStart"/>
      <w:r w:rsidRPr="5FC47C8E">
        <w:t>Responsable</w:t>
      </w:r>
      <w:proofErr w:type="gramEnd"/>
      <w:r w:rsidRPr="5FC47C8E">
        <w:t xml:space="preserve"> de Calibración EMC en Rohde &amp; Schwarz España</w:t>
      </w:r>
      <w:r w:rsidR="00372D14" w:rsidRPr="5FC47C8E">
        <w:t>, “el ser fabricante de este tipo de equipos requiere poder ofrecer servicios de calibración acreditados, especialmente para el parque de equipos español</w:t>
      </w:r>
      <w:r w:rsidR="00DD3534" w:rsidRPr="5FC47C8E">
        <w:t>”, ya que les</w:t>
      </w:r>
      <w:r w:rsidRPr="5FC47C8E">
        <w:t xml:space="preserve"> permite </w:t>
      </w:r>
      <w:r w:rsidR="006F6385" w:rsidRPr="5FC47C8E">
        <w:t>“</w:t>
      </w:r>
      <w:r w:rsidRPr="5FC47C8E">
        <w:t>dar un paquete global de soluciones además de los ya consolidados de mantenimiento y reparación</w:t>
      </w:r>
      <w:r w:rsidR="00A84BF0" w:rsidRPr="5FC47C8E">
        <w:t xml:space="preserve">”. Asimismo, </w:t>
      </w:r>
      <w:r w:rsidR="5655EB5A" w:rsidRPr="5FC47C8E">
        <w:t>destaca que</w:t>
      </w:r>
      <w:r w:rsidRPr="5FC47C8E">
        <w:t xml:space="preserve"> </w:t>
      </w:r>
      <w:r w:rsidR="009E2E96" w:rsidRPr="5FC47C8E">
        <w:t>“</w:t>
      </w:r>
      <w:r w:rsidRPr="5FC47C8E">
        <w:t xml:space="preserve">el hecho de </w:t>
      </w:r>
      <w:r w:rsidRPr="5FC47C8E">
        <w:lastRenderedPageBreak/>
        <w:t xml:space="preserve">disponer de información técnica de fábrica ha supuesto un buen catalizador en el proceso de acreditación”. </w:t>
      </w:r>
    </w:p>
    <w:p w14:paraId="0019C53F" w14:textId="153FE19C" w:rsidR="006B2E30" w:rsidRDefault="005D0705" w:rsidP="3532FBD0">
      <w:pPr>
        <w:jc w:val="both"/>
      </w:pPr>
      <w:r w:rsidRPr="3532FBD0">
        <w:t xml:space="preserve">En cuanto al beneficio a sus clientes, apunta que </w:t>
      </w:r>
      <w:r w:rsidR="00202FB4" w:rsidRPr="3532FBD0">
        <w:t>“</w:t>
      </w:r>
      <w:r w:rsidRPr="3532FBD0">
        <w:t xml:space="preserve">les permitirá </w:t>
      </w:r>
      <w:r w:rsidRPr="3532FBD0">
        <w:rPr>
          <w:highlight w:val="white"/>
        </w:rPr>
        <w:t>disponer del equipo calibrado mediante procedimientos basados en normas internacionales (conocidas además por los auditores especializados), utilizando modernos patrones de medida y con el conocimiento en detalle que otorga el ser fabricantes</w:t>
      </w:r>
      <w:r w:rsidRPr="3532FBD0">
        <w:t>”.</w:t>
      </w:r>
    </w:p>
    <w:p w14:paraId="0019C540" w14:textId="77777777" w:rsidR="006B2E30" w:rsidRDefault="005D0705" w:rsidP="3532FBD0">
      <w:pPr>
        <w:jc w:val="both"/>
        <w:rPr>
          <w:highlight w:val="white"/>
        </w:rPr>
      </w:pPr>
      <w:r w:rsidRPr="3532FBD0">
        <w:t>Finalmente, remarca el valor añadido que supone para la comercialización a otros países, ya que “</w:t>
      </w:r>
      <w:r w:rsidRPr="3532FBD0">
        <w:rPr>
          <w:highlight w:val="white"/>
        </w:rPr>
        <w:t xml:space="preserve">si bien la fabricación y exportación de receptores EMI no se lleva a cabo desde el centro de servicios de Madrid, es cierto que se ha trabajado en la acreditación con vistas a ofrecer servicios </w:t>
      </w:r>
      <w:proofErr w:type="spellStart"/>
      <w:r w:rsidRPr="3532FBD0">
        <w:rPr>
          <w:highlight w:val="white"/>
        </w:rPr>
        <w:t>in-situ</w:t>
      </w:r>
      <w:proofErr w:type="spellEnd"/>
      <w:r w:rsidRPr="3532FBD0">
        <w:rPr>
          <w:highlight w:val="white"/>
        </w:rPr>
        <w:t xml:space="preserve">, incluso a nivel internacional gracias al acuerdo de reconocimiento mutuo de ILAC”, concluye. </w:t>
      </w:r>
    </w:p>
    <w:p w14:paraId="0019C541" w14:textId="77777777" w:rsidR="006B2E30" w:rsidRDefault="005D0705">
      <w:pPr>
        <w:jc w:val="both"/>
        <w:rPr>
          <w:b/>
          <w:u w:val="single"/>
        </w:rPr>
      </w:pPr>
      <w:r>
        <w:rPr>
          <w:b/>
          <w:u w:val="single"/>
        </w:rPr>
        <w:t>Sobre ENAC</w:t>
      </w:r>
    </w:p>
    <w:p w14:paraId="0019C542" w14:textId="77777777" w:rsidR="006B2E30" w:rsidRDefault="005D0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La Entidad Nacional de Acreditación – ENAC – es la entidad designada por el Gobierno para operar en España como el único Organismo Nacional de Acreditación, en aplicación del Reglamento (CE) </w:t>
      </w:r>
      <w:proofErr w:type="spellStart"/>
      <w:r>
        <w:rPr>
          <w:color w:val="000000"/>
        </w:rPr>
        <w:t>nº</w:t>
      </w:r>
      <w:proofErr w:type="spellEnd"/>
      <w:r>
        <w:rPr>
          <w:color w:val="000000"/>
        </w:rPr>
        <w:t xml:space="preserve"> 765/2008 del Parlamento Europeo que regula el funcionamiento de la acreditación en Europa.</w:t>
      </w:r>
    </w:p>
    <w:p w14:paraId="0019C543" w14:textId="77777777" w:rsidR="006B2E30" w:rsidRDefault="005D0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1F497D"/>
        </w:rPr>
        <w:t> </w:t>
      </w:r>
    </w:p>
    <w:p w14:paraId="0019C544" w14:textId="77777777" w:rsidR="006B2E30" w:rsidRDefault="005D0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0019C545" w14:textId="77777777" w:rsidR="006B2E30" w:rsidRDefault="005D0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0019C546" w14:textId="77777777" w:rsidR="006B2E30" w:rsidRDefault="005D0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0019C547" w14:textId="77777777" w:rsidR="006B2E30" w:rsidRDefault="006B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19C548" w14:textId="77777777" w:rsidR="006B2E30" w:rsidRDefault="006B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19C549" w14:textId="77777777" w:rsidR="006B2E30" w:rsidRDefault="002F1048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  <w:hyperlink r:id="rId11">
        <w:r w:rsidR="005D0705">
          <w:rPr>
            <w:color w:val="0000FF"/>
            <w:u w:val="single"/>
          </w:rPr>
          <w:t>www.enac.es</w:t>
        </w:r>
      </w:hyperlink>
      <w:r w:rsidR="005D0705">
        <w:rPr>
          <w:color w:val="000000"/>
        </w:rPr>
        <w:t xml:space="preserve"> </w:t>
      </w:r>
    </w:p>
    <w:p w14:paraId="0019C54A" w14:textId="77777777" w:rsidR="006B2E30" w:rsidRDefault="005D0705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019C551" wp14:editId="0019C552">
            <wp:simplePos x="0" y="0"/>
            <wp:positionH relativeFrom="column">
              <wp:posOffset>3813</wp:posOffset>
            </wp:positionH>
            <wp:positionV relativeFrom="paragraph">
              <wp:posOffset>118110</wp:posOffset>
            </wp:positionV>
            <wp:extent cx="221615" cy="181610"/>
            <wp:effectExtent l="0" t="0" r="0" b="0"/>
            <wp:wrapSquare wrapText="bothSides" distT="0" distB="0" distL="114300" distR="114300"/>
            <wp:docPr id="1" name="image3.png" descr="Descripción: Resultado de imagen de icono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scripción: Resultado de imagen de icono twitter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0019C553" wp14:editId="0019C554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0" b="0"/>
            <wp:wrapSquare wrapText="bothSides" distT="0" distB="0" distL="114300" distR="114300"/>
            <wp:docPr id="3" name="image2.png" descr="Descripción: Resultado de imagen de icono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pción: Resultado de imagen de icono linkedin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19C54B" w14:textId="77777777" w:rsidR="006B2E30" w:rsidRDefault="006B2E3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19C54C" w14:textId="77777777" w:rsidR="006B2E30" w:rsidRDefault="006B2E30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19C54D" w14:textId="77777777" w:rsidR="006B2E30" w:rsidRDefault="006B2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19C54E" w14:textId="77777777" w:rsidR="006B2E30" w:rsidRDefault="005D0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Para más información sobre la nota de prensa, resolver dudas o gestionar entrevistas</w:t>
      </w:r>
    </w:p>
    <w:p w14:paraId="0019C54F" w14:textId="77777777" w:rsidR="006B2E30" w:rsidRDefault="005D0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Eva Martín</w:t>
      </w:r>
    </w:p>
    <w:p w14:paraId="0019C550" w14:textId="77777777" w:rsidR="006B2E30" w:rsidRDefault="005D07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Tfno. 628 17 49 01 /  </w:t>
      </w:r>
      <w:hyperlink r:id="rId14">
        <w:r>
          <w:rPr>
            <w:color w:val="0000FF"/>
            <w:u w:val="single"/>
          </w:rPr>
          <w:t>evamc@varenga.es</w:t>
        </w:r>
      </w:hyperlink>
    </w:p>
    <w:sectPr w:rsidR="006B2E30">
      <w:headerReference w:type="defaul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9782" w14:textId="77777777" w:rsidR="00E576A8" w:rsidRDefault="00E576A8">
      <w:pPr>
        <w:spacing w:after="0" w:line="240" w:lineRule="auto"/>
      </w:pPr>
      <w:r>
        <w:separator/>
      </w:r>
    </w:p>
  </w:endnote>
  <w:endnote w:type="continuationSeparator" w:id="0">
    <w:p w14:paraId="35FD1C7B" w14:textId="77777777" w:rsidR="00E576A8" w:rsidRDefault="00E576A8">
      <w:pPr>
        <w:spacing w:after="0" w:line="240" w:lineRule="auto"/>
      </w:pPr>
      <w:r>
        <w:continuationSeparator/>
      </w:r>
    </w:p>
  </w:endnote>
  <w:endnote w:type="continuationNotice" w:id="1">
    <w:p w14:paraId="3B8FF8A7" w14:textId="77777777" w:rsidR="00E576A8" w:rsidRDefault="00E576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3C2D" w14:textId="77777777" w:rsidR="00E576A8" w:rsidRDefault="00E576A8">
      <w:pPr>
        <w:spacing w:after="0" w:line="240" w:lineRule="auto"/>
      </w:pPr>
      <w:r>
        <w:separator/>
      </w:r>
    </w:p>
  </w:footnote>
  <w:footnote w:type="continuationSeparator" w:id="0">
    <w:p w14:paraId="5A842DB9" w14:textId="77777777" w:rsidR="00E576A8" w:rsidRDefault="00E576A8">
      <w:pPr>
        <w:spacing w:after="0" w:line="240" w:lineRule="auto"/>
      </w:pPr>
      <w:r>
        <w:continuationSeparator/>
      </w:r>
    </w:p>
  </w:footnote>
  <w:footnote w:type="continuationNotice" w:id="1">
    <w:p w14:paraId="3C24F16C" w14:textId="77777777" w:rsidR="00E576A8" w:rsidRDefault="00E576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C555" w14:textId="77777777" w:rsidR="006B2E30" w:rsidRDefault="5FC47C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0"/>
        <w:szCs w:val="40"/>
      </w:rPr>
    </w:pPr>
    <w:r w:rsidRPr="65392C3F">
      <w:rPr>
        <w:b/>
        <w:bCs/>
        <w:color w:val="000000"/>
        <w:sz w:val="40"/>
        <w:szCs w:val="40"/>
      </w:rPr>
      <w:t>NOTA DE PRENSA</w:t>
    </w:r>
    <w:r w:rsidR="005D0705">
      <w:rPr>
        <w:noProof/>
      </w:rPr>
      <w:drawing>
        <wp:anchor distT="0" distB="0" distL="114300" distR="114300" simplePos="0" relativeHeight="251658240" behindDoc="0" locked="0" layoutInCell="1" hidden="0" allowOverlap="1" wp14:anchorId="0019C557" wp14:editId="0019C558">
          <wp:simplePos x="0" y="0"/>
          <wp:positionH relativeFrom="column">
            <wp:posOffset>4530090</wp:posOffset>
          </wp:positionH>
          <wp:positionV relativeFrom="paragraph">
            <wp:posOffset>-297177</wp:posOffset>
          </wp:positionV>
          <wp:extent cx="1324610" cy="733425"/>
          <wp:effectExtent l="0" t="0" r="0" b="0"/>
          <wp:wrapSquare wrapText="bothSides" distT="0" distB="0" distL="114300" distR="114300"/>
          <wp:docPr id="2" name="image1.png" descr="LOGO ENAC COLOR FONDO TRAN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ENAC COLOR FONDO TRANSP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19C556" w14:textId="77777777" w:rsidR="006B2E30" w:rsidRDefault="006B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7p7UYb2ZfCQEg5" id="0UT5XQyF"/>
    <int:WordHash hashCode="Q3Sq7iR/sjfObJ" id="pp31YlvD"/>
    <int:WordHash hashCode="XJ9zr3MzT/41DG" id="/4jqfr3s"/>
  </int:Manifest>
  <int:Observations>
    <int:Content id="0UT5XQyF">
      <int:Rejection type="LegacyProofing"/>
    </int:Content>
    <int:Content id="pp31YlvD">
      <int:Rejection type="LegacyProofing"/>
    </int:Content>
    <int:Content id="/4jqfr3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17A49"/>
    <w:multiLevelType w:val="multilevel"/>
    <w:tmpl w:val="2700B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AE23D5"/>
    <w:multiLevelType w:val="multilevel"/>
    <w:tmpl w:val="D4EC2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30"/>
    <w:rsid w:val="00014D2F"/>
    <w:rsid w:val="00045528"/>
    <w:rsid w:val="000609C2"/>
    <w:rsid w:val="000650EA"/>
    <w:rsid w:val="00194D1F"/>
    <w:rsid w:val="001B10E5"/>
    <w:rsid w:val="00202FB4"/>
    <w:rsid w:val="0021390A"/>
    <w:rsid w:val="002C6B31"/>
    <w:rsid w:val="002F1048"/>
    <w:rsid w:val="00372D14"/>
    <w:rsid w:val="00384A29"/>
    <w:rsid w:val="003F4183"/>
    <w:rsid w:val="00445E7F"/>
    <w:rsid w:val="004C6657"/>
    <w:rsid w:val="005640E3"/>
    <w:rsid w:val="005D0705"/>
    <w:rsid w:val="006B2E30"/>
    <w:rsid w:val="006D0018"/>
    <w:rsid w:val="006F6385"/>
    <w:rsid w:val="00706CF3"/>
    <w:rsid w:val="0076223D"/>
    <w:rsid w:val="007E5CB2"/>
    <w:rsid w:val="007F6C9F"/>
    <w:rsid w:val="00841AC9"/>
    <w:rsid w:val="0084480C"/>
    <w:rsid w:val="008473A9"/>
    <w:rsid w:val="008B0E25"/>
    <w:rsid w:val="008F7176"/>
    <w:rsid w:val="00944BA4"/>
    <w:rsid w:val="00945D9F"/>
    <w:rsid w:val="00950F35"/>
    <w:rsid w:val="009E2E96"/>
    <w:rsid w:val="009E4C71"/>
    <w:rsid w:val="00A31620"/>
    <w:rsid w:val="00A84BF0"/>
    <w:rsid w:val="00AE30D6"/>
    <w:rsid w:val="00B16DA9"/>
    <w:rsid w:val="00BA30C0"/>
    <w:rsid w:val="00BB2728"/>
    <w:rsid w:val="00BB6ABF"/>
    <w:rsid w:val="00BC068B"/>
    <w:rsid w:val="00BF2B59"/>
    <w:rsid w:val="00C24A54"/>
    <w:rsid w:val="00CC0048"/>
    <w:rsid w:val="00D650E1"/>
    <w:rsid w:val="00D754BE"/>
    <w:rsid w:val="00DA2131"/>
    <w:rsid w:val="00DD3534"/>
    <w:rsid w:val="00E576A8"/>
    <w:rsid w:val="00E735F2"/>
    <w:rsid w:val="00EB70D8"/>
    <w:rsid w:val="00EE1C08"/>
    <w:rsid w:val="04F748A1"/>
    <w:rsid w:val="16012F5E"/>
    <w:rsid w:val="2A1CA835"/>
    <w:rsid w:val="2BD4B2BF"/>
    <w:rsid w:val="30F67DF1"/>
    <w:rsid w:val="3532FBD0"/>
    <w:rsid w:val="3D24E558"/>
    <w:rsid w:val="40F829E7"/>
    <w:rsid w:val="4D475873"/>
    <w:rsid w:val="542F4582"/>
    <w:rsid w:val="5655EB5A"/>
    <w:rsid w:val="59FF1BC3"/>
    <w:rsid w:val="5FC47C8E"/>
    <w:rsid w:val="65392C3F"/>
    <w:rsid w:val="6CAE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C537"/>
  <w15:docId w15:val="{AD571CE4-2CB1-4405-8438-8FEE70CE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B3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A31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1620"/>
  </w:style>
  <w:style w:type="paragraph" w:styleId="Piedepgina">
    <w:name w:val="footer"/>
    <w:basedOn w:val="Normal"/>
    <w:link w:val="PiedepginaCar"/>
    <w:uiPriority w:val="99"/>
    <w:semiHidden/>
    <w:unhideWhenUsed/>
    <w:rsid w:val="00A31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1620"/>
  </w:style>
  <w:style w:type="table" w:customStyle="1" w:styleId="TableNormal1">
    <w:name w:val="Table Normal1"/>
    <w:rsid w:val="00A3162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ac.es" TargetMode="External"/><Relationship Id="R82b3ad34674e4137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enac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vamc@vareng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1" ma:contentTypeDescription="Crear nuevo documento." ma:contentTypeScope="" ma:versionID="906025266fd8ce0a309ca94f74ba6fc7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c2347116cb2e92de548b02655a59adf4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21D3D-CF17-4E4A-B661-442BDCEB4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33F6F-21E2-4D0B-A2E5-77C41ED45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0A3BB-7437-46E0-8837-CD09C01B11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Diaz Pozo</dc:creator>
  <cp:keywords/>
  <cp:lastModifiedBy>Denise Diaz Pozo</cp:lastModifiedBy>
  <cp:revision>32</cp:revision>
  <dcterms:created xsi:type="dcterms:W3CDTF">2021-07-09T17:55:00Z</dcterms:created>
  <dcterms:modified xsi:type="dcterms:W3CDTF">2021-09-20T07:11:00Z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