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C625" w14:textId="77777777" w:rsidR="00AF7F8F" w:rsidRDefault="00AF7F8F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4BD3C626" w14:textId="77777777" w:rsidR="00AF7F8F" w:rsidRDefault="004A65F7">
      <w:pPr>
        <w:jc w:val="center"/>
        <w:rPr>
          <w:rFonts w:ascii="Roboto" w:eastAsia="Roboto" w:hAnsi="Roboto" w:cs="Roboto"/>
          <w:b/>
          <w:sz w:val="34"/>
          <w:szCs w:val="34"/>
        </w:rPr>
      </w:pPr>
      <w:r>
        <w:rPr>
          <w:rFonts w:ascii="Roboto" w:eastAsia="Roboto" w:hAnsi="Roboto" w:cs="Roboto"/>
          <w:b/>
          <w:sz w:val="34"/>
          <w:szCs w:val="34"/>
        </w:rPr>
        <w:t>La Comisión Europea resalta el valor de la acreditación en un informe presentado al Parlamento Europeo</w:t>
      </w:r>
    </w:p>
    <w:p w14:paraId="4BD3C627" w14:textId="77777777" w:rsidR="00AF7F8F" w:rsidRDefault="00AF7F8F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4BD3C628" w14:textId="7C2ABCAC" w:rsidR="00AF7F8F" w:rsidRDefault="004A65F7">
      <w:pPr>
        <w:numPr>
          <w:ilvl w:val="0"/>
          <w:numId w:val="1"/>
        </w:numPr>
        <w:shd w:val="clear" w:color="auto" w:fill="FFFFFF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El máximo órgano de gobierno de la Unión Europea ratifica en el documento</w:t>
      </w:r>
      <w:r w:rsidR="00DD739F">
        <w:rPr>
          <w:rFonts w:ascii="Roboto" w:eastAsia="Roboto" w:hAnsi="Roboto" w:cs="Roboto"/>
          <w:b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>su confianza en la acreditación como herramienta de apoyo a la exportación y a la libre circulación de mercancías</w:t>
      </w:r>
    </w:p>
    <w:p w14:paraId="4BD3C629" w14:textId="77777777" w:rsidR="00AF7F8F" w:rsidRDefault="00AF7F8F">
      <w:pPr>
        <w:shd w:val="clear" w:color="auto" w:fill="FFFFFF"/>
        <w:ind w:left="720"/>
        <w:jc w:val="both"/>
        <w:rPr>
          <w:rFonts w:ascii="Roboto" w:eastAsia="Roboto" w:hAnsi="Roboto" w:cs="Roboto"/>
          <w:b/>
          <w:sz w:val="18"/>
          <w:szCs w:val="18"/>
        </w:rPr>
      </w:pPr>
    </w:p>
    <w:p w14:paraId="4BD3C62A" w14:textId="77777777" w:rsidR="00AF7F8F" w:rsidRDefault="004A65F7">
      <w:pPr>
        <w:numPr>
          <w:ilvl w:val="0"/>
          <w:numId w:val="1"/>
        </w:numPr>
        <w:shd w:val="clear" w:color="auto" w:fill="FFFFFF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18"/>
          <w:szCs w:val="18"/>
        </w:rPr>
        <w:t xml:space="preserve">La CE </w:t>
      </w:r>
      <w:r>
        <w:rPr>
          <w:rFonts w:ascii="Roboto" w:eastAsia="Roboto" w:hAnsi="Roboto" w:cs="Roboto"/>
          <w:b/>
          <w:sz w:val="20"/>
          <w:szCs w:val="20"/>
        </w:rPr>
        <w:t>seguirá fomentando el uso de la acreditación y el marcado CE en cualquier nueva propuesta que requiera una evaluación de la conformidad</w:t>
      </w:r>
    </w:p>
    <w:p w14:paraId="4BD3C62B" w14:textId="77777777" w:rsidR="00AF7F8F" w:rsidRDefault="004A65F7">
      <w:pPr>
        <w:shd w:val="clear" w:color="auto" w:fill="FFFFFF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115A3C95" w14:textId="77777777" w:rsidR="00B30BCC" w:rsidRDefault="00B30BCC">
      <w:pPr>
        <w:jc w:val="both"/>
        <w:rPr>
          <w:rFonts w:ascii="Roboto" w:eastAsia="Roboto" w:hAnsi="Roboto" w:cs="Roboto"/>
          <w:sz w:val="22"/>
          <w:szCs w:val="22"/>
        </w:rPr>
      </w:pPr>
    </w:p>
    <w:p w14:paraId="2E9655C1" w14:textId="77777777" w:rsidR="00B30BCC" w:rsidRDefault="00B30BCC">
      <w:pPr>
        <w:jc w:val="both"/>
        <w:rPr>
          <w:rFonts w:ascii="Roboto" w:eastAsia="Roboto" w:hAnsi="Roboto" w:cs="Roboto"/>
          <w:sz w:val="22"/>
          <w:szCs w:val="22"/>
        </w:rPr>
      </w:pPr>
    </w:p>
    <w:p w14:paraId="4BD3C62C" w14:textId="4DD2E48A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 w:rsidRPr="17286434">
        <w:rPr>
          <w:rFonts w:ascii="Roboto" w:eastAsia="Roboto" w:hAnsi="Roboto" w:cs="Roboto"/>
          <w:sz w:val="22"/>
          <w:szCs w:val="22"/>
        </w:rPr>
        <w:t xml:space="preserve">Madrid, </w:t>
      </w:r>
      <w:r w:rsidR="3C606B8F" w:rsidRPr="17286434">
        <w:rPr>
          <w:rFonts w:ascii="Roboto" w:eastAsia="Roboto" w:hAnsi="Roboto" w:cs="Roboto"/>
          <w:sz w:val="22"/>
          <w:szCs w:val="22"/>
        </w:rPr>
        <w:t>diciembre</w:t>
      </w:r>
      <w:r w:rsidRPr="17286434">
        <w:rPr>
          <w:rFonts w:ascii="Roboto" w:eastAsia="Roboto" w:hAnsi="Roboto" w:cs="Roboto"/>
          <w:sz w:val="22"/>
          <w:szCs w:val="22"/>
        </w:rPr>
        <w:t xml:space="preserve"> de 2022. – La Comisión Europea ha publicado recientemente un </w:t>
      </w:r>
      <w:hyperlink r:id="rId10">
        <w:r w:rsidRPr="17286434">
          <w:rPr>
            <w:rFonts w:ascii="Roboto" w:eastAsia="Roboto" w:hAnsi="Roboto" w:cs="Roboto"/>
            <w:b/>
            <w:bCs/>
            <w:sz w:val="22"/>
            <w:szCs w:val="22"/>
            <w:u w:val="single"/>
          </w:rPr>
          <w:t>informe</w:t>
        </w:r>
      </w:hyperlink>
      <w:r w:rsidRPr="17286434">
        <w:rPr>
          <w:rFonts w:ascii="Roboto" w:eastAsia="Roboto" w:hAnsi="Roboto" w:cs="Roboto"/>
          <w:sz w:val="22"/>
          <w:szCs w:val="22"/>
        </w:rPr>
        <w:t xml:space="preserve"> que ha presentado ante el Parlamento Europeo, el Consejo y el Comité Económico y Social Europeo y en el que destaca el</w:t>
      </w:r>
      <w:r w:rsidRPr="17286434">
        <w:rPr>
          <w:rFonts w:ascii="Roboto" w:eastAsia="Roboto" w:hAnsi="Roboto" w:cs="Roboto"/>
          <w:b/>
          <w:bCs/>
          <w:sz w:val="22"/>
          <w:szCs w:val="22"/>
        </w:rPr>
        <w:t xml:space="preserve"> valor que aporta al mercado internacional un sistema de acreditación</w:t>
      </w:r>
      <w:r w:rsidRPr="17286434">
        <w:rPr>
          <w:rFonts w:ascii="Roboto" w:eastAsia="Roboto" w:hAnsi="Roboto" w:cs="Roboto"/>
          <w:sz w:val="22"/>
          <w:szCs w:val="22"/>
        </w:rPr>
        <w:t xml:space="preserve"> sólido y bien asentado según lo establecido en el </w:t>
      </w:r>
      <w:hyperlink r:id="rId11">
        <w:r w:rsidRPr="17286434">
          <w:rPr>
            <w:rFonts w:ascii="Roboto" w:eastAsia="Roboto" w:hAnsi="Roboto" w:cs="Roboto"/>
            <w:b/>
            <w:bCs/>
            <w:sz w:val="22"/>
            <w:szCs w:val="22"/>
            <w:u w:val="single"/>
          </w:rPr>
          <w:t>Reglamento (CE) nº765/2008</w:t>
        </w:r>
      </w:hyperlink>
      <w:r w:rsidRPr="17286434">
        <w:rPr>
          <w:rFonts w:ascii="Roboto" w:eastAsia="Roboto" w:hAnsi="Roboto" w:cs="Roboto"/>
          <w:sz w:val="22"/>
          <w:szCs w:val="22"/>
        </w:rPr>
        <w:t xml:space="preserve">, que regula el funcionamiento de la acreditación en Europa. En virtud de la aplicación de dicho Reglamento, la </w:t>
      </w:r>
      <w:hyperlink r:id="rId12" w:history="1">
        <w:r w:rsidRPr="17286434">
          <w:rPr>
            <w:rFonts w:ascii="Roboto" w:eastAsia="Roboto" w:hAnsi="Roboto" w:cs="Roboto"/>
            <w:sz w:val="22"/>
            <w:szCs w:val="22"/>
          </w:rPr>
          <w:t>Entidad Nacional de Acreditación</w:t>
        </w:r>
      </w:hyperlink>
      <w:r w:rsidRPr="17286434">
        <w:rPr>
          <w:rFonts w:ascii="Roboto" w:eastAsia="Roboto" w:hAnsi="Roboto" w:cs="Roboto"/>
          <w:sz w:val="22"/>
          <w:szCs w:val="22"/>
        </w:rPr>
        <w:t xml:space="preserve"> – ENAC – es la entidad designada por el Gobierno para operar en España como el único Organismo Nacional de Acreditación en nuestro país. </w:t>
      </w:r>
    </w:p>
    <w:p w14:paraId="4BD3C62E" w14:textId="48936362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 w:rsidRPr="17286434">
        <w:rPr>
          <w:rFonts w:ascii="Roboto" w:eastAsia="Roboto" w:hAnsi="Roboto" w:cs="Roboto"/>
          <w:sz w:val="22"/>
          <w:szCs w:val="22"/>
        </w:rPr>
        <w:t>El máximo órgano de gobierno de la Unión Europea ha ratificado su confianza en la acreditación como herramienta de apoyo a la exportación y a la libre circulación de mercancías: “Un sistema de acreditación sólido, que garantice una evaluación fiable de la conformidad y la seguridad de los productos, facilita la libre circulación de mercancías profundiza el mercado único y, por tanto, es un pilar de la aplicación de la política industrial de la UE”.</w:t>
      </w:r>
    </w:p>
    <w:p w14:paraId="4BD3C62F" w14:textId="77777777" w:rsidR="00AF7F8F" w:rsidRDefault="00AF7F8F">
      <w:pPr>
        <w:jc w:val="both"/>
        <w:rPr>
          <w:rFonts w:ascii="Roboto" w:eastAsia="Roboto" w:hAnsi="Roboto" w:cs="Roboto"/>
          <w:sz w:val="22"/>
          <w:szCs w:val="22"/>
        </w:rPr>
      </w:pPr>
    </w:p>
    <w:p w14:paraId="4BD3C630" w14:textId="77777777" w:rsidR="00AF7F8F" w:rsidRDefault="004A65F7" w:rsidP="17286434">
      <w:pPr>
        <w:spacing w:after="160"/>
        <w:jc w:val="both"/>
        <w:rPr>
          <w:rFonts w:ascii="Roboto" w:eastAsia="Roboto" w:hAnsi="Roboto" w:cs="Roboto"/>
          <w:sz w:val="22"/>
          <w:szCs w:val="22"/>
        </w:rPr>
      </w:pPr>
      <w:r w:rsidRPr="17286434">
        <w:rPr>
          <w:rFonts w:ascii="Roboto" w:eastAsia="Roboto" w:hAnsi="Roboto" w:cs="Roboto"/>
          <w:sz w:val="22"/>
          <w:szCs w:val="22"/>
        </w:rPr>
        <w:t>El informe asevera que la correcta aplicación práctica del marco jurídico europeo en materia de acreditación, esto es, del Reglamento (CE) nº765/2008, juega un papel esencial para reforzar el sistema de evaluación de la conformidad en Europa. En este sentido, la Comisión considera esencial que “</w:t>
      </w:r>
      <w:proofErr w:type="spellStart"/>
      <w:r w:rsidRPr="17286434">
        <w:rPr>
          <w:rFonts w:ascii="Roboto" w:eastAsia="Roboto" w:hAnsi="Roboto" w:cs="Roboto"/>
          <w:sz w:val="22"/>
          <w:szCs w:val="22"/>
        </w:rPr>
        <w:t>European</w:t>
      </w:r>
      <w:proofErr w:type="spellEnd"/>
      <w:r w:rsidRPr="17286434"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 w:rsidRPr="17286434">
        <w:rPr>
          <w:rFonts w:ascii="Roboto" w:eastAsia="Roboto" w:hAnsi="Roboto" w:cs="Roboto"/>
          <w:sz w:val="22"/>
          <w:szCs w:val="22"/>
        </w:rPr>
        <w:t>Accreditation</w:t>
      </w:r>
      <w:proofErr w:type="spellEnd"/>
      <w:r w:rsidRPr="17286434">
        <w:rPr>
          <w:rFonts w:ascii="Roboto" w:eastAsia="Roboto" w:hAnsi="Roboto" w:cs="Roboto"/>
          <w:sz w:val="22"/>
          <w:szCs w:val="22"/>
        </w:rPr>
        <w:t xml:space="preserve"> siga recibiendo apoyo de la Unión Europea para ayudarla a llevar a cabo sus tareas y garantizar la coordinación de las actividades de acreditación, así como el funcionamiento del sistema de evaluación por pares”.</w:t>
      </w:r>
    </w:p>
    <w:p w14:paraId="4BD3C631" w14:textId="510E7C0D" w:rsidR="00AF7F8F" w:rsidRDefault="004A65F7" w:rsidP="00B30BCC">
      <w:pPr>
        <w:jc w:val="both"/>
        <w:rPr>
          <w:rFonts w:ascii="Roboto" w:eastAsia="Roboto" w:hAnsi="Roboto" w:cs="Roboto"/>
          <w:sz w:val="22"/>
          <w:szCs w:val="22"/>
        </w:rPr>
      </w:pPr>
      <w:r w:rsidRPr="17286434">
        <w:rPr>
          <w:rFonts w:ascii="Roboto" w:eastAsia="Roboto" w:hAnsi="Roboto" w:cs="Roboto"/>
          <w:sz w:val="22"/>
          <w:szCs w:val="22"/>
        </w:rPr>
        <w:t>Además, e</w:t>
      </w:r>
      <w:r w:rsidR="00DB0556" w:rsidRPr="17286434">
        <w:rPr>
          <w:rFonts w:ascii="Roboto" w:eastAsia="Roboto" w:hAnsi="Roboto" w:cs="Roboto"/>
          <w:sz w:val="22"/>
          <w:szCs w:val="22"/>
        </w:rPr>
        <w:t>l documento subraya, entre otros asuntos, el papel que desempeña y va a desempeñar</w:t>
      </w:r>
      <w:r w:rsidR="00DB0556" w:rsidRPr="17286434">
        <w:rPr>
          <w:rFonts w:ascii="Roboto" w:eastAsia="Roboto" w:hAnsi="Roboto" w:cs="Roboto"/>
          <w:b/>
          <w:bCs/>
          <w:sz w:val="22"/>
          <w:szCs w:val="22"/>
        </w:rPr>
        <w:t xml:space="preserve"> la acreditación en la Unión Europea para apoyar la transición hacia una economía digital y sostenible en el continente</w:t>
      </w:r>
      <w:r w:rsidR="00E61EA3" w:rsidRPr="17286434">
        <w:rPr>
          <w:rFonts w:ascii="Roboto" w:eastAsia="Roboto" w:hAnsi="Roboto" w:cs="Roboto"/>
          <w:sz w:val="22"/>
          <w:szCs w:val="22"/>
        </w:rPr>
        <w:t xml:space="preserve">. </w:t>
      </w:r>
      <w:r w:rsidRPr="17286434">
        <w:rPr>
          <w:rFonts w:ascii="Roboto" w:eastAsia="Roboto" w:hAnsi="Roboto" w:cs="Roboto"/>
          <w:sz w:val="22"/>
          <w:szCs w:val="22"/>
        </w:rPr>
        <w:t>La CE concluye su informe asegurando que “seguirá fomentando el uso de la acreditación y el marcado CE en cualquier nueva propuesta que requiera una evaluación de la conformidad”.</w:t>
      </w:r>
    </w:p>
    <w:p w14:paraId="4BD3C632" w14:textId="77777777" w:rsidR="00AF7F8F" w:rsidRDefault="00AF7F8F">
      <w:pPr>
        <w:jc w:val="both"/>
        <w:rPr>
          <w:rFonts w:ascii="Roboto" w:eastAsia="Roboto" w:hAnsi="Roboto" w:cs="Roboto"/>
          <w:sz w:val="22"/>
          <w:szCs w:val="22"/>
        </w:rPr>
      </w:pPr>
    </w:p>
    <w:p w14:paraId="4BD3C634" w14:textId="4DDEB1AF" w:rsidR="00AF7F8F" w:rsidRDefault="00AF7F8F" w:rsidP="17286434">
      <w:pPr>
        <w:jc w:val="both"/>
        <w:rPr>
          <w:rFonts w:ascii="Roboto" w:eastAsia="Roboto" w:hAnsi="Roboto" w:cs="Roboto"/>
          <w:b/>
          <w:bCs/>
          <w:color w:val="FF0000"/>
          <w:sz w:val="22"/>
          <w:szCs w:val="22"/>
        </w:rPr>
      </w:pPr>
    </w:p>
    <w:p w14:paraId="4BD3C63E" w14:textId="77777777" w:rsidR="00AF7F8F" w:rsidRDefault="004A65F7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4BD3C63F" w14:textId="77777777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La Entidad Nacional de Acreditación – ENAC – es la entidad designada por el Gobierno para operar en España como el único Organismo Nacional de Acreditación, en aplicación </w:t>
      </w:r>
      <w:r>
        <w:rPr>
          <w:rFonts w:ascii="Roboto" w:eastAsia="Roboto" w:hAnsi="Roboto" w:cs="Roboto"/>
          <w:sz w:val="22"/>
          <w:szCs w:val="22"/>
          <w:highlight w:val="white"/>
        </w:rPr>
        <w:lastRenderedPageBreak/>
        <w:t xml:space="preserve">del Reglamento (CE) nº765/2008 del Parlamento Europeo que regula el funcionamiento de la acreditación en Europa. </w:t>
      </w:r>
    </w:p>
    <w:p w14:paraId="4BD3C640" w14:textId="77777777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26BC4374" w14:textId="77777777" w:rsidR="00B30BCC" w:rsidRDefault="00B30BCC">
      <w:pPr>
        <w:jc w:val="both"/>
        <w:rPr>
          <w:rFonts w:ascii="Roboto" w:eastAsia="Roboto" w:hAnsi="Roboto" w:cs="Roboto"/>
          <w:sz w:val="22"/>
          <w:szCs w:val="22"/>
        </w:rPr>
      </w:pPr>
    </w:p>
    <w:p w14:paraId="4BD3C641" w14:textId="58649BDD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4BD3C642" w14:textId="77777777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4BD3C643" w14:textId="77777777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4BD3C644" w14:textId="77777777" w:rsidR="00AF7F8F" w:rsidRDefault="00AF7F8F">
      <w:pPr>
        <w:jc w:val="both"/>
        <w:rPr>
          <w:rFonts w:ascii="Roboto" w:eastAsia="Roboto" w:hAnsi="Roboto" w:cs="Roboto"/>
          <w:sz w:val="22"/>
          <w:szCs w:val="22"/>
        </w:rPr>
      </w:pPr>
    </w:p>
    <w:p w14:paraId="4BD3C645" w14:textId="77777777" w:rsidR="00AF7F8F" w:rsidRDefault="00AF7F8F">
      <w:pPr>
        <w:jc w:val="both"/>
        <w:rPr>
          <w:rFonts w:ascii="Roboto" w:eastAsia="Roboto" w:hAnsi="Roboto" w:cs="Roboto"/>
          <w:sz w:val="22"/>
          <w:szCs w:val="22"/>
        </w:rPr>
      </w:pPr>
    </w:p>
    <w:p w14:paraId="4BD3C646" w14:textId="77777777" w:rsidR="00AF7F8F" w:rsidRDefault="00B30BCC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3">
        <w:r w:rsidR="004A65F7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4A65F7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4BD3C647" w14:textId="77777777" w:rsidR="00AF7F8F" w:rsidRDefault="00AF7F8F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4BD3C648" w14:textId="77777777" w:rsidR="00AF7F8F" w:rsidRDefault="004A65F7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4BD3C651" wp14:editId="4BD3C652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4BD3C653" wp14:editId="4BD3C654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3C649" w14:textId="77777777" w:rsidR="00AF7F8F" w:rsidRDefault="00AF7F8F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4BD3C64A" w14:textId="77777777" w:rsidR="00AF7F8F" w:rsidRDefault="00AF7F8F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4BD3C64B" w14:textId="77777777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4BD3C64C" w14:textId="77777777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4BD3C64D" w14:textId="77777777" w:rsidR="00AF7F8F" w:rsidRDefault="004A65F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4BD3C64E" w14:textId="77777777" w:rsidR="00AF7F8F" w:rsidRDefault="00AF7F8F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BD3C64F" w14:textId="77777777" w:rsidR="00AF7F8F" w:rsidRDefault="00AF7F8F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BD3C650" w14:textId="77777777" w:rsidR="00AF7F8F" w:rsidRDefault="00AF7F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AF7F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0143" w14:textId="77777777" w:rsidR="004A65F7" w:rsidRDefault="004A65F7">
      <w:r>
        <w:separator/>
      </w:r>
    </w:p>
  </w:endnote>
  <w:endnote w:type="continuationSeparator" w:id="0">
    <w:p w14:paraId="4C003332" w14:textId="77777777" w:rsidR="004A65F7" w:rsidRDefault="004A65F7">
      <w:r>
        <w:continuationSeparator/>
      </w:r>
    </w:p>
  </w:endnote>
  <w:endnote w:type="continuationNotice" w:id="1">
    <w:p w14:paraId="14F421A0" w14:textId="77777777" w:rsidR="002D0B2D" w:rsidRDefault="002D0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C659" w14:textId="77777777" w:rsidR="00AF7F8F" w:rsidRDefault="00AF7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C65A" w14:textId="643C2627" w:rsidR="00AF7F8F" w:rsidRDefault="004A65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739F">
      <w:rPr>
        <w:noProof/>
        <w:color w:val="000000"/>
      </w:rPr>
      <w:t>1</w:t>
    </w:r>
    <w:r>
      <w:rPr>
        <w:color w:val="000000"/>
      </w:rPr>
      <w:fldChar w:fldCharType="end"/>
    </w:r>
  </w:p>
  <w:p w14:paraId="4BD3C65B" w14:textId="77777777" w:rsidR="00AF7F8F" w:rsidRDefault="00AF7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C65D" w14:textId="77777777" w:rsidR="00AF7F8F" w:rsidRDefault="00AF7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56BB" w14:textId="77777777" w:rsidR="004A65F7" w:rsidRDefault="004A65F7">
      <w:r>
        <w:separator/>
      </w:r>
    </w:p>
  </w:footnote>
  <w:footnote w:type="continuationSeparator" w:id="0">
    <w:p w14:paraId="1695704E" w14:textId="77777777" w:rsidR="004A65F7" w:rsidRDefault="004A65F7">
      <w:r>
        <w:continuationSeparator/>
      </w:r>
    </w:p>
  </w:footnote>
  <w:footnote w:type="continuationNotice" w:id="1">
    <w:p w14:paraId="58D62271" w14:textId="77777777" w:rsidR="002D0B2D" w:rsidRDefault="002D0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C655" w14:textId="77777777" w:rsidR="00AF7F8F" w:rsidRDefault="00AF7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C656" w14:textId="77777777" w:rsidR="00AF7F8F" w:rsidRDefault="004A65F7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D3C65E" wp14:editId="4BD3C65F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D3C657" w14:textId="77777777" w:rsidR="00AF7F8F" w:rsidRDefault="004A65F7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4BD3C658" w14:textId="77777777" w:rsidR="00AF7F8F" w:rsidRDefault="00AF7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C65C" w14:textId="77777777" w:rsidR="00AF7F8F" w:rsidRDefault="00AF7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B18"/>
    <w:multiLevelType w:val="multilevel"/>
    <w:tmpl w:val="16007FB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38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8F"/>
    <w:rsid w:val="000131A1"/>
    <w:rsid w:val="001E4AED"/>
    <w:rsid w:val="00275DC8"/>
    <w:rsid w:val="002D0B2D"/>
    <w:rsid w:val="00410A71"/>
    <w:rsid w:val="004A65F7"/>
    <w:rsid w:val="004F5A72"/>
    <w:rsid w:val="005412CC"/>
    <w:rsid w:val="006667D9"/>
    <w:rsid w:val="006F739E"/>
    <w:rsid w:val="00845395"/>
    <w:rsid w:val="008F468E"/>
    <w:rsid w:val="009D5EDE"/>
    <w:rsid w:val="00A31C10"/>
    <w:rsid w:val="00AF7F8F"/>
    <w:rsid w:val="00B30BCC"/>
    <w:rsid w:val="00D539A2"/>
    <w:rsid w:val="00DB0556"/>
    <w:rsid w:val="00DB72E7"/>
    <w:rsid w:val="00DD739F"/>
    <w:rsid w:val="00E114BF"/>
    <w:rsid w:val="00E61EA3"/>
    <w:rsid w:val="00F66036"/>
    <w:rsid w:val="17286434"/>
    <w:rsid w:val="1D876700"/>
    <w:rsid w:val="26447E70"/>
    <w:rsid w:val="2D32221E"/>
    <w:rsid w:val="3C606B8F"/>
    <w:rsid w:val="50B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C625"/>
  <w15:docId w15:val="{1FF7EE04-83E7-4F57-AAC7-BD91468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B72E7"/>
  </w:style>
  <w:style w:type="paragraph" w:styleId="Encabezado">
    <w:name w:val="header"/>
    <w:basedOn w:val="Normal"/>
    <w:link w:val="EncabezadoCar"/>
    <w:uiPriority w:val="99"/>
    <w:semiHidden/>
    <w:unhideWhenUsed/>
    <w:rsid w:val="002D0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0B2D"/>
  </w:style>
  <w:style w:type="paragraph" w:styleId="Piedepgina">
    <w:name w:val="footer"/>
    <w:basedOn w:val="Normal"/>
    <w:link w:val="PiedepginaCar"/>
    <w:uiPriority w:val="99"/>
    <w:semiHidden/>
    <w:unhideWhenUsed/>
    <w:rsid w:val="002D0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0B2D"/>
  </w:style>
  <w:style w:type="table" w:customStyle="1" w:styleId="TableNormal1">
    <w:name w:val="Table Normal1"/>
    <w:rsid w:val="002D0B2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ac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e.es/doue/2008/218/L00030-00047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S/TXT/PDF/?uri=CELEX:52022DC0679&amp;from=EN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26166746-B005-4B14-A37C-01380A73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A873C-BE70-4590-A8F2-DE3807587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47717-1BDA-4312-BCDF-FEFE35106147}">
  <ds:schemaRefs>
    <ds:schemaRef ds:uri="http://purl.org/dc/elements/1.1/"/>
    <ds:schemaRef ds:uri="http://schemas.microsoft.com/office/2006/metadata/properties"/>
    <ds:schemaRef ds:uri="6e290ce1-b2e7-4ccb-948d-a290ef611fa1"/>
    <ds:schemaRef ds:uri="http://schemas.microsoft.com/office/2006/documentManagement/types"/>
    <ds:schemaRef ds:uri="http://purl.org/dc/terms/"/>
    <ds:schemaRef ds:uri="http://purl.org/dc/dcmitype/"/>
    <ds:schemaRef ds:uri="909e21e3-a2e2-47ca-be0e-9c3a9bef9292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Diaz Pozo</dc:creator>
  <cp:keywords/>
  <cp:lastModifiedBy>Denise Diaz Pozo</cp:lastModifiedBy>
  <cp:revision>18</cp:revision>
  <dcterms:created xsi:type="dcterms:W3CDTF">2022-12-21T20:49:00Z</dcterms:created>
  <dcterms:modified xsi:type="dcterms:W3CDTF">2023-01-02T10:59:00Z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