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47F70" w:rsidRDefault="00B47F70" w14:paraId="672A6659" wp14:textId="77777777">
      <w:pPr>
        <w:jc w:val="center"/>
        <w:rPr>
          <w:rFonts w:ascii="Roboto" w:hAnsi="Roboto" w:eastAsia="Roboto" w:cs="Roboto"/>
          <w:b/>
          <w:bCs/>
          <w:sz w:val="32"/>
          <w:szCs w:val="32"/>
        </w:rPr>
      </w:pPr>
    </w:p>
    <w:p xmlns:wp14="http://schemas.microsoft.com/office/word/2010/wordml" w:rsidR="00B47F70" w:rsidRDefault="00B47F70" w14:paraId="0A37501D" wp14:textId="77777777">
      <w:pPr>
        <w:rPr>
          <w:rFonts w:ascii="Roboto" w:hAnsi="Roboto" w:eastAsia="Roboto" w:cs="Roboto"/>
        </w:rPr>
      </w:pPr>
    </w:p>
    <w:p xmlns:wp14="http://schemas.microsoft.com/office/word/2010/wordml" w:rsidR="00B47F70" w:rsidRDefault="00F5234E" w14:paraId="4ECE2FF2" wp14:textId="77777777">
      <w:pPr>
        <w:jc w:val="center"/>
        <w:rPr>
          <w:rFonts w:ascii="Roboto" w:hAnsi="Roboto" w:eastAsia="Roboto" w:cs="Roboto"/>
          <w:b/>
          <w:bCs/>
          <w:sz w:val="30"/>
          <w:szCs w:val="30"/>
        </w:rPr>
      </w:pPr>
      <w:r>
        <w:rPr>
          <w:rFonts w:ascii="Roboto" w:hAnsi="Roboto" w:eastAsia="Roboto" w:cs="Roboto"/>
          <w:b/>
          <w:bCs/>
          <w:sz w:val="30"/>
          <w:szCs w:val="30"/>
        </w:rPr>
        <w:t>ENAC concede la primera acreditación para certificar sistemas de gestión de la privacidad de la información a Bureau Veritas</w:t>
      </w:r>
    </w:p>
    <w:p xmlns:wp14="http://schemas.microsoft.com/office/word/2010/wordml" w:rsidR="00B47F70" w:rsidRDefault="00B47F70" w14:paraId="5DAB6C7B" wp14:textId="77777777">
      <w:pPr>
        <w:rPr>
          <w:rFonts w:ascii="Roboto" w:hAnsi="Roboto" w:eastAsia="Roboto" w:cs="Roboto"/>
          <w:b/>
          <w:bCs/>
          <w:sz w:val="30"/>
          <w:szCs w:val="30"/>
        </w:rPr>
      </w:pPr>
    </w:p>
    <w:p xmlns:wp14="http://schemas.microsoft.com/office/word/2010/wordml" w:rsidR="00B47F70" w:rsidRDefault="00F5234E" w14:paraId="0D9B57D1" wp14:textId="77777777">
      <w:pPr>
        <w:numPr>
          <w:ilvl w:val="0"/>
          <w:numId w:val="1"/>
        </w:numPr>
        <w:jc w:val="both"/>
        <w:rPr>
          <w:rFonts w:ascii="Roboto" w:hAnsi="Roboto" w:eastAsia="Roboto" w:cs="Roboto"/>
          <w:b/>
          <w:bCs/>
          <w:sz w:val="20"/>
          <w:szCs w:val="20"/>
        </w:rPr>
      </w:pPr>
      <w:r>
        <w:rPr>
          <w:rFonts w:ascii="Roboto" w:hAnsi="Roboto" w:eastAsia="Roboto" w:cs="Roboto"/>
          <w:b/>
          <w:bCs/>
          <w:sz w:val="20"/>
          <w:szCs w:val="20"/>
        </w:rPr>
        <w:t>La acreditación conforme a la norma UNE-ISO/IEC 27701:2021 es una herramienta muy útil de cara a demostrar conformidad con regulaciones de protección de datos</w:t>
      </w:r>
    </w:p>
    <w:p xmlns:wp14="http://schemas.microsoft.com/office/word/2010/wordml" w:rsidR="00B47F70" w:rsidRDefault="00B47F70" w14:paraId="02EB378F" wp14:textId="77777777">
      <w:pPr>
        <w:ind w:left="720"/>
        <w:jc w:val="both"/>
        <w:rPr>
          <w:rFonts w:ascii="Roboto" w:hAnsi="Roboto" w:eastAsia="Roboto" w:cs="Roboto"/>
          <w:b/>
          <w:bCs/>
          <w:sz w:val="22"/>
          <w:szCs w:val="22"/>
        </w:rPr>
      </w:pPr>
    </w:p>
    <w:p xmlns:wp14="http://schemas.microsoft.com/office/word/2010/wordml" w:rsidR="00B47F70" w:rsidRDefault="00B47F70" w14:paraId="6A05A809" wp14:textId="77777777">
      <w:pPr>
        <w:pBdr>
          <w:top w:val="none" w:color="000000" w:sz="0" w:space="0"/>
          <w:bottom w:val="none" w:color="000000" w:sz="0" w:space="0"/>
          <w:right w:val="none" w:color="000000" w:sz="0" w:space="0"/>
          <w:between w:val="none" w:color="000000" w:sz="0" w:space="0"/>
        </w:pBdr>
        <w:ind w:left="720"/>
        <w:jc w:val="both"/>
        <w:rPr>
          <w:rFonts w:ascii="Roboto" w:hAnsi="Roboto" w:eastAsia="Roboto" w:cs="Roboto"/>
          <w:b/>
          <w:bCs/>
          <w:sz w:val="20"/>
          <w:szCs w:val="20"/>
        </w:rPr>
      </w:pPr>
    </w:p>
    <w:p w:rsidR="6A52C114" w:rsidP="0C8F9B25" w:rsidRDefault="6A52C114" w14:paraId="1273C2BF" w14:textId="11031D52">
      <w:pPr>
        <w:spacing w:before="0" w:beforeAutospacing="off" w:after="0" w:afterAutospacing="off"/>
        <w:jc w:val="both"/>
      </w:pPr>
      <w:r w:rsidRPr="0C8F9B25" w:rsidR="6A52C114">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Madrid, 24 de noviembre de 2025.- La </w:t>
      </w:r>
      <w:hyperlink r:id="R7e49f933de9c4fbe">
        <w:r w:rsidRPr="0C8F9B25" w:rsidR="6A52C114">
          <w:rPr>
            <w:rStyle w:val="Hyperlink"/>
            <w:rFonts w:ascii="Roboto" w:hAnsi="Roboto" w:eastAsia="Roboto" w:cs="Roboto"/>
            <w:b w:val="1"/>
            <w:bCs w:val="1"/>
            <w:i w:val="0"/>
            <w:iCs w:val="0"/>
            <w:strike w:val="0"/>
            <w:dstrike w:val="0"/>
            <w:noProof w:val="0"/>
            <w:color w:val="1155CC"/>
            <w:sz w:val="22"/>
            <w:szCs w:val="22"/>
            <w:u w:val="none"/>
            <w:lang w:val="es"/>
          </w:rPr>
          <w:t>Entidad Nacional de Acreditación</w:t>
        </w:r>
      </w:hyperlink>
      <w:r w:rsidRPr="0C8F9B25" w:rsidR="6A52C114">
        <w:rPr>
          <w:rFonts w:ascii="Roboto" w:hAnsi="Roboto" w:eastAsia="Roboto" w:cs="Roboto"/>
          <w:b w:val="1"/>
          <w:bCs w:val="1"/>
          <w:i w:val="0"/>
          <w:iCs w:val="0"/>
          <w:strike w:val="0"/>
          <w:dstrike w:val="0"/>
          <w:noProof w:val="0"/>
          <w:color w:val="000000" w:themeColor="text1" w:themeTint="FF" w:themeShade="FF"/>
          <w:sz w:val="22"/>
          <w:szCs w:val="22"/>
          <w:u w:val="none"/>
          <w:lang w:val="es"/>
        </w:rPr>
        <w:t xml:space="preserve"> </w:t>
      </w:r>
      <w:r w:rsidRPr="0C8F9B25" w:rsidR="6A52C114">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(ENAC) ha concedido a </w:t>
      </w:r>
      <w:r w:rsidRPr="0C8F9B25" w:rsidR="6A52C114">
        <w:rPr>
          <w:rFonts w:ascii="Roboto" w:hAnsi="Roboto" w:eastAsia="Roboto" w:cs="Roboto"/>
          <w:b w:val="1"/>
          <w:bCs w:val="1"/>
          <w:i w:val="0"/>
          <w:iCs w:val="0"/>
          <w:strike w:val="0"/>
          <w:dstrike w:val="0"/>
          <w:noProof w:val="0"/>
          <w:color w:val="000000" w:themeColor="text1" w:themeTint="FF" w:themeShade="FF"/>
          <w:sz w:val="22"/>
          <w:szCs w:val="22"/>
          <w:u w:val="none"/>
          <w:lang w:val="es"/>
        </w:rPr>
        <w:t>Bureau Veritas Iberia</w:t>
      </w:r>
      <w:r w:rsidRPr="0C8F9B25" w:rsidR="6A52C114">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 la primera acreditación como entidad de certificación de sistemas de gestión de la privacidad de la información, </w:t>
      </w:r>
      <w:r w:rsidRPr="0C8F9B25" w:rsidR="6A52C114">
        <w:rPr>
          <w:rFonts w:ascii="Roboto" w:hAnsi="Roboto" w:eastAsia="Roboto" w:cs="Roboto"/>
          <w:b w:val="1"/>
          <w:bCs w:val="1"/>
          <w:i w:val="0"/>
          <w:iCs w:val="0"/>
          <w:strike w:val="0"/>
          <w:dstrike w:val="0"/>
          <w:noProof w:val="0"/>
          <w:color w:val="000000" w:themeColor="text1" w:themeTint="FF" w:themeShade="FF"/>
          <w:sz w:val="22"/>
          <w:szCs w:val="22"/>
          <w:u w:val="none"/>
          <w:lang w:val="es"/>
        </w:rPr>
        <w:t>según la norma UNE-ISO/IEC 27701:2021,</w:t>
      </w:r>
      <w:r w:rsidRPr="0C8F9B25" w:rsidR="6A52C114">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 la cual establece los requisitos y directrices para implantar este tipo de sistemas de gestión </w:t>
      </w:r>
      <w:r w:rsidRPr="0C8F9B25" w:rsidR="6A52C114">
        <w:rPr>
          <w:rFonts w:ascii="Roboto" w:hAnsi="Roboto" w:eastAsia="Roboto" w:cs="Roboto"/>
          <w:b w:val="1"/>
          <w:bCs w:val="1"/>
          <w:i w:val="0"/>
          <w:iCs w:val="0"/>
          <w:strike w:val="0"/>
          <w:dstrike w:val="0"/>
          <w:noProof w:val="0"/>
          <w:color w:val="000000" w:themeColor="text1" w:themeTint="FF" w:themeShade="FF"/>
          <w:sz w:val="22"/>
          <w:szCs w:val="22"/>
          <w:u w:val="none"/>
          <w:lang w:val="es"/>
        </w:rPr>
        <w:t>asegurando la confidencialidad, integridad y disponibilidad de la información personal.</w:t>
      </w:r>
    </w:p>
    <w:p w:rsidR="0C8F9B25" w:rsidP="0C8F9B25" w:rsidRDefault="0C8F9B25" w14:paraId="45E3B9A3" w14:textId="68448B30">
      <w:pPr>
        <w:jc w:val="both"/>
      </w:pPr>
    </w:p>
    <w:p xmlns:wp14="http://schemas.microsoft.com/office/word/2010/wordml" w:rsidR="00B47F70" w:rsidRDefault="00F5234E" w14:paraId="3BE7C680" wp14:textId="77777777">
      <w:pPr>
        <w:spacing w:after="160"/>
        <w:jc w:val="both"/>
        <w:rPr>
          <w:rFonts w:ascii="Roboto" w:hAnsi="Roboto" w:eastAsia="Roboto" w:cs="Roboto"/>
          <w:b/>
          <w:bCs/>
          <w:sz w:val="22"/>
          <w:szCs w:val="22"/>
        </w:rPr>
      </w:pPr>
      <w:r>
        <w:rPr>
          <w:rFonts w:ascii="Roboto" w:hAnsi="Roboto" w:eastAsia="Roboto" w:cs="Roboto"/>
          <w:sz w:val="22"/>
          <w:szCs w:val="22"/>
        </w:rPr>
        <w:t xml:space="preserve">Esta norma complementa a la ISO/IEC 27001, ampliando los controles de seguridad de la información para incluir aspectos específicos de privacidad, ayudando de esta forma a gestionar esta actividad de una manera eficiente y </w:t>
      </w:r>
      <w:r>
        <w:rPr>
          <w:rFonts w:ascii="Roboto" w:hAnsi="Roboto" w:eastAsia="Roboto" w:cs="Roboto"/>
          <w:b/>
          <w:bCs/>
          <w:sz w:val="22"/>
          <w:szCs w:val="22"/>
        </w:rPr>
        <w:t>es una herramienta muy útil de cara a demostrar conformidad con regulaciones de protección de datos.</w:t>
      </w:r>
    </w:p>
    <w:p xmlns:wp14="http://schemas.microsoft.com/office/word/2010/wordml" w:rsidR="00B47F70" w:rsidP="0C8F9B25" w:rsidRDefault="00F5234E" w14:paraId="0B465D68" wp14:textId="77777777">
      <w:pPr>
        <w:spacing w:after="160"/>
        <w:jc w:val="both"/>
        <w:rPr>
          <w:rFonts w:ascii="Roboto" w:hAnsi="Roboto" w:eastAsia="Roboto" w:cs="Roboto"/>
          <w:sz w:val="22"/>
          <w:szCs w:val="22"/>
          <w:lang w:val="es-ES"/>
        </w:rPr>
      </w:pPr>
      <w:r w:rsidRPr="0C8F9B25" w:rsidR="00F5234E">
        <w:rPr>
          <w:rFonts w:ascii="Roboto" w:hAnsi="Roboto" w:eastAsia="Roboto" w:cs="Roboto"/>
          <w:sz w:val="22"/>
          <w:szCs w:val="22"/>
          <w:lang w:val="es-ES"/>
        </w:rPr>
        <w:t>La acreditación de ENAC constituye una evidencia de la competencia técnica del certificador frente a sus clientes en la prestación de los distintos servicios a sus áreas de negocio, aportando confianza en que actúa de forma imparcial, dispone de personal competente tanto desde el punto de vista del proceso de auditoría como de conocimiento de los sectores empresariales donde opera, con procesos de evaluación ejecutados en un tiempo suficiente y procesos de decisión validados y solventes.</w:t>
      </w:r>
    </w:p>
    <w:p xmlns:wp14="http://schemas.microsoft.com/office/word/2010/wordml" w:rsidR="00B47F70" w:rsidRDefault="00F5234E" w14:paraId="16A92335" wp14:textId="77777777">
      <w:pPr>
        <w:spacing w:after="160"/>
        <w:jc w:val="both"/>
        <w:rPr>
          <w:rFonts w:ascii="Roboto" w:hAnsi="Roboto" w:eastAsia="Roboto" w:cs="Roboto"/>
          <w:sz w:val="22"/>
          <w:szCs w:val="22"/>
        </w:rPr>
      </w:pPr>
      <w:r>
        <w:rPr>
          <w:rFonts w:ascii="Roboto" w:hAnsi="Roboto" w:eastAsia="Roboto" w:cs="Roboto"/>
          <w:sz w:val="22"/>
          <w:szCs w:val="22"/>
        </w:rPr>
        <w:t xml:space="preserve">De este modo, confiar en servicios acreditados aporta a las empresas beneficios en términos de prestigio y confianza del mercado y ahorro y eficiencia, dado que </w:t>
      </w:r>
      <w:r>
        <w:rPr>
          <w:rFonts w:ascii="Roboto" w:hAnsi="Roboto" w:eastAsia="Roboto" w:cs="Roboto"/>
          <w:b/>
          <w:bCs/>
          <w:sz w:val="22"/>
          <w:szCs w:val="22"/>
        </w:rPr>
        <w:t>se reduce la posibilidad de que el mismo producto o servicio se vea sometido a evaluaciones redundantes porque el mercado reconocerá la información de sus certificados</w:t>
      </w:r>
      <w:r>
        <w:rPr>
          <w:rFonts w:ascii="Roboto" w:hAnsi="Roboto" w:eastAsia="Roboto" w:cs="Roboto"/>
          <w:sz w:val="22"/>
          <w:szCs w:val="22"/>
        </w:rPr>
        <w:t>; al tiempo que permite demostrar la “diligencia debida” en el caso de acción legal. Asimismo, facilita el acceso a compras públicas, ya que la acreditación se prima, cada vez más, en los pliegos de contratación pública; y el reconocimiento en los mercados internacionales, ya que la acreditación de ENAC es aceptada y reconocida en más de 120 p</w:t>
      </w:r>
      <w:r>
        <w:rPr>
          <w:rFonts w:ascii="Roboto" w:hAnsi="Roboto" w:eastAsia="Roboto" w:cs="Roboto"/>
          <w:sz w:val="22"/>
          <w:szCs w:val="22"/>
        </w:rPr>
        <w:t>aíses.</w:t>
      </w:r>
    </w:p>
    <w:p xmlns:wp14="http://schemas.microsoft.com/office/word/2010/wordml" w:rsidR="00B47F70" w:rsidRDefault="00B47F70" w14:paraId="41C8F396"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b/>
          <w:bCs/>
          <w:sz w:val="22"/>
          <w:szCs w:val="22"/>
          <w:highlight w:val="white"/>
        </w:rPr>
      </w:pPr>
    </w:p>
    <w:p xmlns:wp14="http://schemas.microsoft.com/office/word/2010/wordml" w:rsidR="00B47F70" w:rsidRDefault="00F5234E" w14:paraId="69A1FD12"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xmlns:wp14="http://schemas.microsoft.com/office/word/2010/wordml" w:rsidR="00B47F70" w:rsidRDefault="00F5234E" w14:paraId="3DBFD2A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xmlns:wp14="http://schemas.microsoft.com/office/word/2010/wordml" w:rsidR="00B47F70" w:rsidRDefault="00B47F70" w14:paraId="72A3D3E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0D0B940D"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0E27B00A"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60061E4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44EAFD9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4B94D5A5"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B47F70" w14:paraId="3DEEC66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F5234E" w14:paraId="121F981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xmlns:wp14="http://schemas.microsoft.com/office/word/2010/wordml" w:rsidR="00B47F70" w:rsidRDefault="00B47F70" w14:paraId="3656B9AB"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47F70" w:rsidRDefault="00F5234E" w14:paraId="54638B6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xmlns:wp14="http://schemas.microsoft.com/office/word/2010/wordml" w:rsidR="00B47F70" w:rsidRDefault="00B47F70" w14:paraId="45FB0818" wp14:textId="77777777">
      <w:pPr>
        <w:jc w:val="both"/>
        <w:rPr>
          <w:rFonts w:ascii="Roboto" w:hAnsi="Roboto" w:eastAsia="Roboto" w:cs="Roboto"/>
          <w:sz w:val="22"/>
          <w:szCs w:val="22"/>
        </w:rPr>
      </w:pPr>
    </w:p>
    <w:p xmlns:wp14="http://schemas.microsoft.com/office/word/2010/wordml" w:rsidR="00B47F70" w:rsidRDefault="00F5234E" w14:paraId="72ADE443" wp14:textId="77777777">
      <w:pPr>
        <w:pBdr>
          <w:bottom w:val="single" w:color="000000" w:sz="12" w:space="1"/>
        </w:pBdr>
        <w:jc w:val="both"/>
        <w:rPr>
          <w:rFonts w:ascii="Roboto" w:hAnsi="Roboto" w:eastAsia="Roboto" w:cs="Roboto"/>
          <w:color w:val="E83544"/>
          <w:sz w:val="22"/>
          <w:szCs w:val="22"/>
        </w:rPr>
      </w:pPr>
      <w:hyperlink r:id="rId11">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xmlns:wp14="http://schemas.microsoft.com/office/word/2010/wordml" w:rsidR="00B47F70" w:rsidRDefault="00B47F70" w14:paraId="049F31CB"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B47F70" w:rsidRDefault="00F5234E" w14:paraId="0DFAE634" wp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114300" distB="114300" distL="114300" distR="114300" wp14:anchorId="788BA9D1" wp14:editId="7777777">
            <wp:extent cx="297039" cy="297039"/>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7039" cy="297039"/>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0" distB="0" distL="0" distR="0" wp14:anchorId="18D30CAD" wp14:editId="7777777">
            <wp:extent cx="304800" cy="3048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w:p>
    <w:p xmlns:wp14="http://schemas.microsoft.com/office/word/2010/wordml" w:rsidR="00B47F70" w:rsidRDefault="00B47F70" w14:paraId="53128261"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B47F70" w:rsidRDefault="00B47F70" w14:paraId="62486C05" wp14:textId="77777777">
      <w:pPr>
        <w:jc w:val="both"/>
        <w:rPr>
          <w:rFonts w:ascii="Roboto" w:hAnsi="Roboto" w:eastAsia="Roboto" w:cs="Roboto"/>
          <w:color w:val="E83544"/>
          <w:sz w:val="22"/>
          <w:szCs w:val="22"/>
        </w:rPr>
      </w:pPr>
    </w:p>
    <w:p xmlns:wp14="http://schemas.microsoft.com/office/word/2010/wordml" w:rsidR="00B47F70" w:rsidRDefault="00F5234E" w14:paraId="70AF4A84" wp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xmlns:wp14="http://schemas.microsoft.com/office/word/2010/wordml" w:rsidR="00B47F70" w:rsidRDefault="00F5234E" w14:paraId="527B165C" wp14:textId="77777777">
      <w:pPr>
        <w:jc w:val="both"/>
        <w:rPr>
          <w:rFonts w:ascii="Roboto" w:hAnsi="Roboto" w:eastAsia="Roboto" w:cs="Roboto"/>
          <w:sz w:val="22"/>
          <w:szCs w:val="22"/>
        </w:rPr>
      </w:pPr>
      <w:r>
        <w:rPr>
          <w:rFonts w:ascii="Roboto" w:hAnsi="Roboto" w:eastAsia="Roboto" w:cs="Roboto"/>
          <w:sz w:val="22"/>
          <w:szCs w:val="22"/>
        </w:rPr>
        <w:t>Eva Martín</w:t>
      </w:r>
    </w:p>
    <w:p xmlns:wp14="http://schemas.microsoft.com/office/word/2010/wordml" w:rsidR="00B47F70" w:rsidRDefault="00F5234E" w14:paraId="0B05E5D0" wp14:textId="77777777">
      <w:pPr>
        <w:jc w:val="both"/>
        <w:rPr>
          <w:rFonts w:ascii="Calibri" w:hAnsi="Calibri" w:eastAsia="Calibri" w:cs="Calibri"/>
          <w:highlight w:val="white"/>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4">
        <w:r>
          <w:rPr>
            <w:rFonts w:ascii="Roboto" w:hAnsi="Roboto" w:eastAsia="Roboto" w:cs="Roboto"/>
            <w:color w:val="E83544"/>
            <w:sz w:val="22"/>
            <w:szCs w:val="22"/>
            <w:u w:val="single"/>
          </w:rPr>
          <w:t>evamc@varenga.es</w:t>
        </w:r>
      </w:hyperlink>
    </w:p>
    <w:sectPr w:rsidR="00B47F70">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5234E" w:rsidRDefault="00F5234E" w14:paraId="3CF2D8B6" wp14:textId="77777777">
      <w:r>
        <w:separator/>
      </w:r>
    </w:p>
  </w:endnote>
  <w:endnote w:type="continuationSeparator" w:id="0">
    <w:p xmlns:wp14="http://schemas.microsoft.com/office/word/2010/wordml" w:rsidR="00F5234E" w:rsidRDefault="00F5234E"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A8710914-A45A-4B71-B03D-3DA183E69EC1}" r:id="rId1"/>
  </w:font>
  <w:font w:name="Roboto">
    <w:panose1 w:val="02000000000000000000"/>
    <w:charset w:val="00"/>
    <w:family w:val="auto"/>
    <w:pitch w:val="variable"/>
    <w:sig w:usb0="E0000AFF" w:usb1="5000217F" w:usb2="00000021" w:usb3="00000000" w:csb0="0000019F" w:csb1="00000000"/>
    <w:embedRegular w:fontKey="{988E2865-B536-4A15-8382-6AA9775370BA}" r:id="rId2"/>
    <w:embedBold w:fontKey="{67C7205C-66C4-46D5-A59B-A2D69187F27C}" r:id="rId3"/>
  </w:font>
  <w:font w:name="Calibri">
    <w:panose1 w:val="020F0502020204030204"/>
    <w:charset w:val="00"/>
    <w:family w:val="swiss"/>
    <w:pitch w:val="variable"/>
    <w:sig w:usb0="E4002EFF" w:usb1="C200247B" w:usb2="00000009" w:usb3="00000000" w:csb0="000001FF" w:csb1="00000000"/>
    <w:embedRegular w:fontKey="{7984C69D-22CD-4A05-B0CA-2C7B1365FA75}" r:id="rId4"/>
    <w:embedBold w:fontKey="{A907F9A0-EE1F-44B6-86A1-78481B3A5446}"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21E8D1E-C536-4F32-83D0-7245F3DFDFDC}" r:id="rI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47F70" w:rsidRDefault="00B47F70" w14:paraId="4B99056E"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47F70" w:rsidRDefault="00F5234E" w14:paraId="133EDD17" wp14:textId="777777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B47F70" w:rsidRDefault="00B47F70" w14:paraId="4101652C" wp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47F70" w:rsidRDefault="00B47F70" w14:paraId="4DDBEF00"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5234E" w:rsidRDefault="00F5234E" w14:paraId="0562CB0E" wp14:textId="77777777">
      <w:r>
        <w:separator/>
      </w:r>
    </w:p>
  </w:footnote>
  <w:footnote w:type="continuationSeparator" w:id="0">
    <w:p xmlns:wp14="http://schemas.microsoft.com/office/word/2010/wordml" w:rsidR="00F5234E" w:rsidRDefault="00F5234E" w14:paraId="34CE0A41"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47F70" w:rsidRDefault="00B47F70" w14:paraId="3461D779" wp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47F70" w:rsidRDefault="00F5234E" w14:paraId="45E8A0DF" wp14:textId="77777777">
    <w:pPr>
      <w:ind w:left="-120"/>
      <w:jc w:val="both"/>
      <w:rPr>
        <w:rFonts w:ascii="Calibri" w:hAnsi="Calibri" w:eastAsia="Calibri" w:cs="Calibri"/>
        <w:b/>
        <w:bCs/>
        <w:sz w:val="40"/>
        <w:szCs w:val="40"/>
      </w:rPr>
    </w:pPr>
    <w:r>
      <w:rPr>
        <w:noProof/>
      </w:rPr>
      <w:drawing>
        <wp:anchor xmlns:wp14="http://schemas.microsoft.com/office/word/2010/wordprocessingDrawing" distT="114300" distB="114300" distL="114300" distR="114300" simplePos="0" relativeHeight="251658240" behindDoc="0" locked="0" layoutInCell="1" hidden="0" allowOverlap="1" wp14:anchorId="2AFE7F71" wp14:editId="7777777">
          <wp:simplePos x="0" y="0"/>
          <wp:positionH relativeFrom="column">
            <wp:posOffset>4114800</wp:posOffset>
          </wp:positionH>
          <wp:positionV relativeFrom="paragraph">
            <wp:posOffset>-304773</wp:posOffset>
          </wp:positionV>
          <wp:extent cx="1547842" cy="997267"/>
          <wp:effectExtent l="0" t="0" r="0" b="0"/>
          <wp:wrapSquare wrapText="bothSides" distT="114300" distB="114300" distL="114300" distR="11430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xmlns:wp14="http://schemas.microsoft.com/office/word/2010/wordml" w:rsidR="00B47F70" w:rsidRDefault="00F5234E" w14:paraId="12ECC7C7" wp14:textId="77777777">
    <w:pPr>
      <w:ind w:left="-120"/>
      <w:jc w:val="both"/>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xmlns:wp14="http://schemas.microsoft.com/office/word/2010/wordml" w:rsidR="00B47F70" w:rsidRDefault="00B47F70" w14:paraId="1299C43A" wp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47F70" w:rsidRDefault="00B47F70" w14:paraId="1FC39945" wp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769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281109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70"/>
    <w:rsid w:val="00A312BB"/>
    <w:rsid w:val="00B47F70"/>
    <w:rsid w:val="00F5234E"/>
    <w:rsid w:val="0C8F9B25"/>
    <w:rsid w:val="6A52C11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3640DE4"/>
  <w15:docId w15:val="{65156594-5CF5-41A3-8C29-778F268EE0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 Normal"/>
    <w:tblPr>
      <w:tblCellMar>
        <w:top w:w="0" w:type="dxa"/>
        <w:left w:w="0" w:type="dxa"/>
        <w:bottom w:w="0" w:type="dxa"/>
        <w:right w:w="0" w:type="dxa"/>
      </w:tblCellMar>
    </w:tblPr>
  </w:style>
  <w:style w:type="table" w:styleId="TableNormal2" w:customStyle="1">
    <w:name w:val="Table Normal0"/>
    <w:tblPr>
      <w:tblCellMar>
        <w:top w:w="0" w:type="dxa"/>
        <w:left w:w="0" w:type="dxa"/>
        <w:bottom w:w="0" w:type="dxa"/>
        <w:right w:w="0" w:type="dxa"/>
      </w:tblCellMar>
    </w:tblPr>
  </w:style>
  <w:style w:type="table" w:styleId="TableNormal3" w:customStyle="1">
    <w:name w:val="Table Normal1"/>
    <w:tblPr>
      <w:tblCellMar>
        <w:top w:w="0" w:type="dxa"/>
        <w:left w:w="0" w:type="dxa"/>
        <w:bottom w:w="0" w:type="dxa"/>
        <w:right w:w="0" w:type="dxa"/>
      </w:tblCellMar>
    </w:tblPr>
  </w:style>
  <w:style w:type="table" w:styleId="TableNormal4" w:customStyle="1">
    <w:name w:val="Table Normal2"/>
    <w:tblPr>
      <w:tblCellMar>
        <w:top w:w="0" w:type="dxa"/>
        <w:left w:w="0" w:type="dxa"/>
        <w:bottom w:w="0" w:type="dxa"/>
        <w:right w:w="0" w:type="dxa"/>
      </w:tblCellMar>
    </w:tblPr>
  </w:style>
  <w:style w:type="table" w:styleId="TableNormal5" w:customStyle="1">
    <w:name w:val="Table Normal3"/>
    <w:tblPr>
      <w:tblCellMar>
        <w:top w:w="0" w:type="dxa"/>
        <w:left w:w="0" w:type="dxa"/>
        <w:bottom w:w="0" w:type="dxa"/>
        <w:right w:w="0" w:type="dxa"/>
      </w:tblCellMar>
    </w:tblPr>
  </w:style>
  <w:style w:type="table" w:styleId="TableNormal6" w:customStyle="1">
    <w:name w:val="Table Normal4"/>
    <w:tblPr>
      <w:tblCellMar>
        <w:top w:w="0" w:type="dxa"/>
        <w:left w:w="0" w:type="dxa"/>
        <w:bottom w:w="0" w:type="dxa"/>
        <w:right w:w="0" w:type="dxa"/>
      </w:tblCellMar>
    </w:tblPr>
  </w:style>
  <w:style w:type="table" w:styleId="TableNormal7" w:customStyle="1">
    <w:name w:val="Table Normal5"/>
    <w:tblPr>
      <w:tblCellMar>
        <w:top w:w="0" w:type="dxa"/>
        <w:left w:w="0" w:type="dxa"/>
        <w:bottom w:w="0" w:type="dxa"/>
        <w:right w:w="0" w:type="dxa"/>
      </w:tblCellMar>
    </w:tblPr>
  </w:style>
  <w:style w:type="table" w:styleId="TableNormal8" w:customStyle="1">
    <w:name w:val="Table Normal6"/>
    <w:tblPr>
      <w:tblCellMar>
        <w:top w:w="0" w:type="dxa"/>
        <w:left w:w="0" w:type="dxa"/>
        <w:bottom w:w="0" w:type="dxa"/>
        <w:right w:w="0" w:type="dxa"/>
      </w:tblCellMar>
    </w:tblPr>
  </w:style>
  <w:style w:type="table" w:styleId="TableNormal9" w:customStyle="1">
    <w:name w:val="Table Normal7"/>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uiPriority w:val="99"/>
    <w:name w:val="Hyperlink"/>
    <w:basedOn w:val="DefaultParagraphFont"/>
    <w:unhideWhenUsed/>
    <w:rsid w:val="0C8F9B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nac.es"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vamc@varenga.es" TargetMode="External" Id="rId14" /><Relationship Type="http://schemas.openxmlformats.org/officeDocument/2006/relationships/theme" Target="theme/theme1.xml" Id="rId22" /><Relationship Type="http://schemas.openxmlformats.org/officeDocument/2006/relationships/hyperlink" Target="https://www.enac.es/" TargetMode="External" Id="R7e49f933de9c4fb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UxFvUEBgeL56kS+PKPMoNJLA==">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e3b63cab70c3de109051f9544653c1b7">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bcb13fa94513590ec2caa56d4e98af8"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C9D5B2-F0B9-4CD3-87F2-CE2EC089A8D3}">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F03840AA-023E-4F19-9198-76FFC65122A1}">
  <ds:schemaRefs>
    <ds:schemaRef ds:uri="http://schemas.microsoft.com/sharepoint/v3/contenttype/forms"/>
  </ds:schemaRefs>
</ds:datastoreItem>
</file>

<file path=customXml/itemProps4.xml><?xml version="1.0" encoding="utf-8"?>
<ds:datastoreItem xmlns:ds="http://schemas.openxmlformats.org/officeDocument/2006/customXml" ds:itemID="{2A55994D-98A2-42CB-BD60-61E1BE481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Martín</lastModifiedBy>
  <revision>2</revision>
  <dcterms:created xsi:type="dcterms:W3CDTF">2025-11-24T11:02:00.0000000Z</dcterms:created>
  <dcterms:modified xsi:type="dcterms:W3CDTF">2025-11-24T11:07:59.0307157Z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