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9025" w14:textId="77777777" w:rsidR="00BC17E2" w:rsidRDefault="00BC17E2" w:rsidP="2D2627E6">
      <w:pPr>
        <w:rPr>
          <w:rFonts w:ascii="Roboto" w:eastAsia="Roboto" w:hAnsi="Roboto" w:cs="Roboto"/>
          <w:b/>
          <w:bCs/>
          <w:color w:val="000000" w:themeColor="text1"/>
          <w:sz w:val="32"/>
          <w:szCs w:val="32"/>
        </w:rPr>
      </w:pPr>
    </w:p>
    <w:p w14:paraId="00000001" w14:textId="4E4650A4" w:rsidR="00AE5BDC" w:rsidRDefault="2FFB49A1" w:rsidP="00BC17E2">
      <w:pPr>
        <w:jc w:val="both"/>
        <w:rPr>
          <w:rFonts w:ascii="Roboto" w:eastAsia="Roboto" w:hAnsi="Roboto" w:cs="Roboto"/>
          <w:b/>
          <w:bCs/>
          <w:color w:val="000000" w:themeColor="text1"/>
          <w:sz w:val="32"/>
          <w:szCs w:val="32"/>
        </w:rPr>
      </w:pPr>
      <w:r w:rsidRPr="2D2627E6">
        <w:rPr>
          <w:rFonts w:ascii="Roboto" w:eastAsia="Roboto" w:hAnsi="Roboto" w:cs="Roboto"/>
          <w:b/>
          <w:bCs/>
          <w:color w:val="000000" w:themeColor="text1"/>
          <w:sz w:val="32"/>
          <w:szCs w:val="32"/>
        </w:rPr>
        <w:t>Los certificadores de la valorización de envases de plástico biodegradable ya pueden solicitar la acreditación de ENAC</w:t>
      </w:r>
    </w:p>
    <w:p w14:paraId="00000003" w14:textId="3800E14E" w:rsidR="00AE5BDC" w:rsidRDefault="00AE5BDC" w:rsidP="00BC17E2">
      <w:pPr>
        <w:spacing w:after="0" w:line="259" w:lineRule="auto"/>
        <w:jc w:val="center"/>
        <w:rPr>
          <w:rFonts w:ascii="Roboto" w:eastAsia="Roboto" w:hAnsi="Roboto" w:cs="Roboto"/>
          <w:b/>
          <w:bCs/>
          <w:color w:val="000000" w:themeColor="text1"/>
          <w:sz w:val="24"/>
          <w:szCs w:val="24"/>
        </w:rPr>
      </w:pPr>
    </w:p>
    <w:p w14:paraId="00000004" w14:textId="516317C5" w:rsidR="00AE5BDC" w:rsidRDefault="1C3D3872" w:rsidP="1C3D3872">
      <w:pPr>
        <w:numPr>
          <w:ilvl w:val="0"/>
          <w:numId w:val="1"/>
        </w:numPr>
        <w:shd w:val="clear" w:color="auto" w:fill="FFFFFF" w:themeFill="background1"/>
        <w:spacing w:after="0" w:line="259" w:lineRule="auto"/>
        <w:ind w:left="1080"/>
        <w:jc w:val="both"/>
        <w:rPr>
          <w:b/>
          <w:bCs/>
          <w:sz w:val="20"/>
          <w:szCs w:val="20"/>
        </w:rPr>
      </w:pPr>
      <w:r w:rsidRPr="2D2627E6">
        <w:rPr>
          <w:rFonts w:ascii="Roboto" w:eastAsia="Roboto" w:hAnsi="Roboto" w:cs="Roboto"/>
          <w:b/>
          <w:bCs/>
          <w:sz w:val="20"/>
          <w:szCs w:val="20"/>
        </w:rPr>
        <w:t xml:space="preserve">El etiquetado deberá informar de que está certificado conforme a la norma </w:t>
      </w:r>
      <w:r w:rsidR="00375B25" w:rsidRPr="2D2627E6">
        <w:rPr>
          <w:rFonts w:ascii="Roboto" w:eastAsia="Roboto" w:hAnsi="Roboto" w:cs="Roboto"/>
          <w:b/>
          <w:bCs/>
          <w:sz w:val="20"/>
          <w:szCs w:val="20"/>
        </w:rPr>
        <w:t>UNE-</w:t>
      </w:r>
      <w:r w:rsidRPr="2D2627E6">
        <w:rPr>
          <w:rFonts w:ascii="Roboto" w:eastAsia="Roboto" w:hAnsi="Roboto" w:cs="Roboto"/>
          <w:b/>
          <w:bCs/>
          <w:sz w:val="20"/>
          <w:szCs w:val="20"/>
        </w:rPr>
        <w:t xml:space="preserve">EN 13432 que incluye los requisitos de ensayo y evaluación para la valorización de los envases de plástico biodegradable o </w:t>
      </w:r>
      <w:proofErr w:type="spellStart"/>
      <w:r w:rsidRPr="2D2627E6">
        <w:rPr>
          <w:rFonts w:ascii="Roboto" w:eastAsia="Roboto" w:hAnsi="Roboto" w:cs="Roboto"/>
          <w:b/>
          <w:bCs/>
          <w:sz w:val="20"/>
          <w:szCs w:val="20"/>
        </w:rPr>
        <w:t>compostable</w:t>
      </w:r>
      <w:proofErr w:type="spellEnd"/>
    </w:p>
    <w:p w14:paraId="00000005" w14:textId="77777777" w:rsidR="00AE5BDC" w:rsidRDefault="00351ADD">
      <w:pPr>
        <w:shd w:val="clear" w:color="auto" w:fill="FFFFFF"/>
        <w:spacing w:after="0" w:line="259" w:lineRule="auto"/>
        <w:ind w:left="72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 </w:t>
      </w:r>
    </w:p>
    <w:p w14:paraId="00000006" w14:textId="77777777" w:rsidR="00AE5BDC" w:rsidRDefault="00351ADD">
      <w:pPr>
        <w:numPr>
          <w:ilvl w:val="0"/>
          <w:numId w:val="2"/>
        </w:numPr>
        <w:shd w:val="clear" w:color="auto" w:fill="FFFFFF"/>
        <w:spacing w:after="0" w:line="259" w:lineRule="auto"/>
        <w:ind w:left="1080"/>
        <w:jc w:val="both"/>
        <w:rPr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Con el respaldo de la acreditación, los productores podrán certificar sus productos aportando la máxima fiabilidad al mercado sobre el cumplimiento de las nuevas condiciones incorporadas en el nuevo </w:t>
      </w:r>
      <w:r>
        <w:rPr>
          <w:rFonts w:ascii="Roboto" w:eastAsia="Roboto" w:hAnsi="Roboto" w:cs="Roboto"/>
          <w:sz w:val="20"/>
          <w:szCs w:val="20"/>
        </w:rPr>
        <w:t xml:space="preserve"> </w:t>
      </w:r>
      <w:hyperlink r:id="rId10">
        <w:r>
          <w:rPr>
            <w:rFonts w:ascii="Roboto" w:eastAsia="Roboto" w:hAnsi="Roboto" w:cs="Roboto"/>
            <w:b/>
            <w:sz w:val="20"/>
            <w:szCs w:val="20"/>
          </w:rPr>
          <w:t>Real Decreto 1055/2022</w:t>
        </w:r>
      </w:hyperlink>
    </w:p>
    <w:p w14:paraId="00000007" w14:textId="77777777" w:rsidR="00AE5BDC" w:rsidRDefault="00AE5BDC">
      <w:pPr>
        <w:spacing w:after="0" w:line="259" w:lineRule="auto"/>
        <w:ind w:left="720"/>
        <w:rPr>
          <w:rFonts w:ascii="Roboto" w:eastAsia="Roboto" w:hAnsi="Roboto" w:cs="Roboto"/>
        </w:rPr>
      </w:pPr>
    </w:p>
    <w:p w14:paraId="00000008" w14:textId="46A7562D" w:rsidR="00AE5BDC" w:rsidRDefault="00351ADD" w:rsidP="2D2627E6">
      <w:pPr>
        <w:shd w:val="clear" w:color="auto" w:fill="FFFFFF" w:themeFill="background1"/>
        <w:spacing w:after="0" w:line="259" w:lineRule="auto"/>
        <w:jc w:val="both"/>
        <w:rPr>
          <w:rFonts w:ascii="Roboto" w:eastAsia="Roboto" w:hAnsi="Roboto" w:cs="Roboto"/>
        </w:rPr>
      </w:pPr>
      <w:r w:rsidRPr="2D2627E6">
        <w:rPr>
          <w:rFonts w:ascii="Roboto" w:eastAsia="Roboto" w:hAnsi="Roboto" w:cs="Roboto"/>
        </w:rPr>
        <w:t xml:space="preserve">Madrid, </w:t>
      </w:r>
      <w:r w:rsidR="00BC17E2">
        <w:rPr>
          <w:rFonts w:ascii="Roboto" w:eastAsia="Roboto" w:hAnsi="Roboto" w:cs="Roboto"/>
        </w:rPr>
        <w:t xml:space="preserve">10 de </w:t>
      </w:r>
      <w:r w:rsidR="0FFE6582" w:rsidRPr="2D2627E6">
        <w:rPr>
          <w:rFonts w:ascii="Roboto" w:eastAsia="Roboto" w:hAnsi="Roboto" w:cs="Roboto"/>
        </w:rPr>
        <w:t>marzo</w:t>
      </w:r>
      <w:r w:rsidRPr="2D2627E6">
        <w:rPr>
          <w:rFonts w:ascii="Roboto" w:eastAsia="Roboto" w:hAnsi="Roboto" w:cs="Roboto"/>
        </w:rPr>
        <w:t xml:space="preserve"> de 2023</w:t>
      </w:r>
      <w:r w:rsidR="00BC17E2">
        <w:rPr>
          <w:rFonts w:ascii="Roboto" w:eastAsia="Roboto" w:hAnsi="Roboto" w:cs="Roboto"/>
        </w:rPr>
        <w:t xml:space="preserve"> </w:t>
      </w:r>
      <w:r w:rsidRPr="2D2627E6">
        <w:rPr>
          <w:rFonts w:ascii="Roboto" w:eastAsia="Roboto" w:hAnsi="Roboto" w:cs="Roboto"/>
        </w:rPr>
        <w:t xml:space="preserve">- El </w:t>
      </w:r>
      <w:r w:rsidRPr="2D2627E6">
        <w:rPr>
          <w:rFonts w:ascii="Roboto" w:eastAsia="Roboto" w:hAnsi="Roboto" w:cs="Roboto"/>
          <w:b/>
          <w:bCs/>
        </w:rPr>
        <w:t>Ministerio para la Transición Ecológica y el Reto Demográfico</w:t>
      </w:r>
      <w:r w:rsidRPr="2D2627E6">
        <w:rPr>
          <w:rFonts w:ascii="Roboto" w:eastAsia="Roboto" w:hAnsi="Roboto" w:cs="Roboto"/>
        </w:rPr>
        <w:t xml:space="preserve"> ha incluido una serie de requisitos sobre el etiquetado de envases y residuos de envases, en el </w:t>
      </w:r>
      <w:hyperlink r:id="rId11">
        <w:r w:rsidRPr="2D2627E6">
          <w:rPr>
            <w:rFonts w:ascii="Roboto" w:eastAsia="Roboto" w:hAnsi="Roboto" w:cs="Roboto"/>
            <w:b/>
            <w:bCs/>
            <w:u w:val="single"/>
          </w:rPr>
          <w:t>Real Decreto 1055/2022</w:t>
        </w:r>
      </w:hyperlink>
      <w:r w:rsidRPr="2D2627E6">
        <w:rPr>
          <w:rFonts w:ascii="Roboto" w:eastAsia="Roboto" w:hAnsi="Roboto" w:cs="Roboto"/>
        </w:rPr>
        <w:t xml:space="preserve"> recientemente publicado, con el objetivo de mejorar la transparencia y ayudar a la toma de decisiones informadas por parte de los consumidores en relación con la reciclabilidad de los envases.</w:t>
      </w:r>
    </w:p>
    <w:p w14:paraId="00000009" w14:textId="77777777" w:rsidR="00AE5BDC" w:rsidRDefault="00AE5BDC">
      <w:pPr>
        <w:shd w:val="clear" w:color="auto" w:fill="FFFFFF"/>
        <w:spacing w:after="0" w:line="259" w:lineRule="auto"/>
        <w:jc w:val="both"/>
        <w:rPr>
          <w:rFonts w:ascii="Roboto" w:eastAsia="Roboto" w:hAnsi="Roboto" w:cs="Roboto"/>
        </w:rPr>
      </w:pPr>
    </w:p>
    <w:p w14:paraId="0000000A" w14:textId="77777777" w:rsidR="00AE5BDC" w:rsidRDefault="00351ADD">
      <w:pPr>
        <w:shd w:val="clear" w:color="auto" w:fill="FFFFFF"/>
        <w:spacing w:after="160" w:line="259" w:lineRule="auto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</w:rPr>
        <w:t xml:space="preserve">En concreto, establece que los envases podrán </w:t>
      </w:r>
      <w:r>
        <w:rPr>
          <w:rFonts w:ascii="Roboto" w:eastAsia="Roboto" w:hAnsi="Roboto" w:cs="Roboto"/>
          <w:b/>
        </w:rPr>
        <w:t>ir marcados con el porcentaje de material disponible para un reciclado de calidad</w:t>
      </w:r>
      <w:r>
        <w:rPr>
          <w:rFonts w:ascii="Roboto" w:eastAsia="Roboto" w:hAnsi="Roboto" w:cs="Roboto"/>
        </w:rPr>
        <w:t xml:space="preserve"> y, en el caso de los envases de plástico biodegradable o </w:t>
      </w:r>
      <w:proofErr w:type="spellStart"/>
      <w:r>
        <w:rPr>
          <w:rFonts w:ascii="Roboto" w:eastAsia="Roboto" w:hAnsi="Roboto" w:cs="Roboto"/>
        </w:rPr>
        <w:t>compostable</w:t>
      </w:r>
      <w:proofErr w:type="spellEnd"/>
      <w:r>
        <w:rPr>
          <w:rFonts w:ascii="Roboto" w:eastAsia="Roboto" w:hAnsi="Roboto" w:cs="Roboto"/>
        </w:rPr>
        <w:t xml:space="preserve">, especifica que </w:t>
      </w:r>
      <w:r>
        <w:rPr>
          <w:rFonts w:ascii="Roboto" w:eastAsia="Roboto" w:hAnsi="Roboto" w:cs="Roboto"/>
          <w:b/>
        </w:rPr>
        <w:t>el etiquetado deberá informar de que está certificado conforme a la norma UNE EN 13432, que incluye los requisitos de ensayo y evaluación para la valorización de los mismos.</w:t>
      </w:r>
    </w:p>
    <w:p w14:paraId="0000000B" w14:textId="77777777" w:rsidR="00AE5BDC" w:rsidRDefault="00351ADD" w:rsidP="2D2627E6">
      <w:pPr>
        <w:shd w:val="clear" w:color="auto" w:fill="FFFFFF" w:themeFill="background1"/>
        <w:spacing w:after="160" w:line="259" w:lineRule="auto"/>
        <w:jc w:val="both"/>
        <w:rPr>
          <w:rFonts w:ascii="Roboto" w:eastAsia="Roboto" w:hAnsi="Roboto" w:cs="Roboto"/>
        </w:rPr>
      </w:pPr>
      <w:r w:rsidRPr="2D2627E6">
        <w:rPr>
          <w:rFonts w:ascii="Roboto" w:eastAsia="Roboto" w:hAnsi="Roboto" w:cs="Roboto"/>
        </w:rPr>
        <w:t xml:space="preserve">Las entidades de certificación que así lo deseen ya pueden solicitar a la Entidad Nacional de Acreditación (ENAC) la acreditación para dicha actividad de manera que, en el menor plazo posible, </w:t>
      </w:r>
      <w:r w:rsidRPr="2D2627E6">
        <w:rPr>
          <w:rFonts w:ascii="Roboto" w:eastAsia="Roboto" w:hAnsi="Roboto" w:cs="Roboto"/>
          <w:b/>
          <w:bCs/>
        </w:rPr>
        <w:t>los productores puedan certificar sus productos aportando la máxima fiabilidad al mercado sobre el cumplimiento de las nuevas condiciones incorporadas en el real decreto</w:t>
      </w:r>
      <w:r w:rsidRPr="2D2627E6">
        <w:rPr>
          <w:rFonts w:ascii="Roboto" w:eastAsia="Roboto" w:hAnsi="Roboto" w:cs="Roboto"/>
        </w:rPr>
        <w:t>, con la confianza, además, de contar con una certificación con el máximo reconocimiento internacional, gracias a los acuerdos internacionales firmados por ENAC con más de 100 países.</w:t>
      </w:r>
    </w:p>
    <w:p w14:paraId="0000000C" w14:textId="438CE4E0" w:rsidR="00AE5BDC" w:rsidRDefault="00AE5BDC" w:rsidP="2D2627E6">
      <w:pPr>
        <w:shd w:val="clear" w:color="auto" w:fill="FFFFFF" w:themeFill="background1"/>
        <w:spacing w:after="160" w:line="259" w:lineRule="auto"/>
        <w:jc w:val="both"/>
        <w:rPr>
          <w:rFonts w:ascii="Roboto" w:eastAsia="Roboto" w:hAnsi="Roboto" w:cs="Roboto"/>
        </w:rPr>
      </w:pPr>
    </w:p>
    <w:p w14:paraId="0000000D" w14:textId="77777777" w:rsidR="00AE5BDC" w:rsidRDefault="00351ADD">
      <w:pPr>
        <w:spacing w:after="160"/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La acreditación al servicio de las políticas de transición ecológica</w:t>
      </w:r>
    </w:p>
    <w:p w14:paraId="0000000E" w14:textId="4B2B8416" w:rsidR="00AE5BDC" w:rsidRDefault="00351ADD">
      <w:pPr>
        <w:spacing w:after="1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Esta certificación se suma a los servicios para los que ENAC ya ha concedido las primeras acreditaciones dentro del marco de</w:t>
      </w:r>
      <w:r w:rsidR="00B54B77">
        <w:rPr>
          <w:rFonts w:ascii="Roboto" w:eastAsia="Roboto" w:hAnsi="Roboto" w:cs="Roboto"/>
        </w:rPr>
        <w:t>l</w:t>
      </w:r>
      <w:r>
        <w:rPr>
          <w:rFonts w:ascii="Roboto" w:eastAsia="Roboto" w:hAnsi="Roboto" w:cs="Roboto"/>
        </w:rPr>
        <w:t xml:space="preserve"> Real Decreto 1055/2022 destinados a prevenir y reducir el impacto de los envases en el medio ambiente a lo largo de su ciclo de vida, contribuyendo a la transición hacia una economía circular.</w:t>
      </w:r>
    </w:p>
    <w:p w14:paraId="00000011" w14:textId="0A1B00B5" w:rsidR="00AE5BDC" w:rsidRDefault="00351ADD">
      <w:pPr>
        <w:spacing w:after="1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Así, dentro de los requisitos para el diseño de envases fabricados con plástico no </w:t>
      </w:r>
      <w:proofErr w:type="spellStart"/>
      <w:r>
        <w:rPr>
          <w:rFonts w:ascii="Roboto" w:eastAsia="Roboto" w:hAnsi="Roboto" w:cs="Roboto"/>
        </w:rPr>
        <w:t>compostable</w:t>
      </w:r>
      <w:proofErr w:type="spellEnd"/>
      <w:r w:rsidR="00D121A4">
        <w:rPr>
          <w:rFonts w:ascii="Roboto" w:eastAsia="Roboto" w:hAnsi="Roboto" w:cs="Roboto"/>
        </w:rPr>
        <w:t>,</w:t>
      </w:r>
      <w:r>
        <w:rPr>
          <w:rFonts w:ascii="Roboto" w:eastAsia="Roboto" w:hAnsi="Roboto" w:cs="Roboto"/>
        </w:rPr>
        <w:t xml:space="preserve"> el Real Decreto establece que la cantidad de plástico reciclado debe ser certificada según la norma UNE-EN 15343:2008 por una entidad acreditada. Un requisito también exigido por la Ley 7/2022 de residuos y suelos contaminados para determinar la base imponible del impuesto especial sobre envases de plástico no reutilizables.</w:t>
      </w:r>
    </w:p>
    <w:p w14:paraId="05A03843" w14:textId="77777777" w:rsidR="00BC17E2" w:rsidRDefault="00BC17E2">
      <w:pPr>
        <w:spacing w:after="160"/>
        <w:jc w:val="both"/>
        <w:rPr>
          <w:rFonts w:ascii="Roboto" w:eastAsia="Roboto" w:hAnsi="Roboto" w:cs="Roboto"/>
        </w:rPr>
      </w:pPr>
    </w:p>
    <w:p w14:paraId="4FDFD63E" w14:textId="77777777" w:rsidR="00BC17E2" w:rsidRDefault="00BC17E2">
      <w:pPr>
        <w:spacing w:after="160"/>
        <w:jc w:val="both"/>
        <w:rPr>
          <w:rFonts w:ascii="Roboto" w:eastAsia="Roboto" w:hAnsi="Roboto" w:cs="Roboto"/>
        </w:rPr>
      </w:pPr>
    </w:p>
    <w:p w14:paraId="00000012" w14:textId="6E9B1E21" w:rsidR="00AE5BDC" w:rsidRDefault="00351ADD">
      <w:pPr>
        <w:spacing w:after="1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Con todo ello, se confirma que la acreditación es una herramienta cada vez más utilizada por las diferentes administraciones con el fin de alcanzar sus objetivos políticos públicos.</w:t>
      </w:r>
    </w:p>
    <w:p w14:paraId="00000013" w14:textId="77777777" w:rsidR="00AE5BDC" w:rsidRDefault="00351ADD">
      <w:pPr>
        <w:spacing w:after="0" w:line="240" w:lineRule="auto"/>
        <w:jc w:val="both"/>
        <w:rPr>
          <w:rFonts w:ascii="Roboto" w:eastAsia="Roboto" w:hAnsi="Roboto" w:cs="Roboto"/>
          <w:b/>
          <w:color w:val="E83544"/>
        </w:rPr>
      </w:pPr>
      <w:r>
        <w:rPr>
          <w:rFonts w:ascii="Roboto" w:eastAsia="Roboto" w:hAnsi="Roboto" w:cs="Roboto"/>
          <w:b/>
          <w:color w:val="E83544"/>
        </w:rPr>
        <w:t>Sobre ENAC</w:t>
      </w:r>
    </w:p>
    <w:p w14:paraId="00000014" w14:textId="77777777" w:rsidR="00AE5BDC" w:rsidRDefault="00AE5BDC">
      <w:pPr>
        <w:spacing w:after="0" w:line="240" w:lineRule="auto"/>
        <w:jc w:val="both"/>
        <w:rPr>
          <w:rFonts w:ascii="Roboto" w:eastAsia="Roboto" w:hAnsi="Roboto" w:cs="Roboto"/>
          <w:b/>
          <w:color w:val="E83544"/>
        </w:rPr>
      </w:pPr>
    </w:p>
    <w:p w14:paraId="00000015" w14:textId="592AE4E9" w:rsidR="00AE5BDC" w:rsidRDefault="00351ADD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La Entidad Nacional de Acreditación – ENAC – es la entidad designada por el Gobierno para operar en España como el único Organismo Nacional de Acreditación, en aplicación del Reglamento (CE) nº765/2008 del Parlamento Europeo que regula el funcionamiento de la acreditación en Europa.</w:t>
      </w:r>
    </w:p>
    <w:p w14:paraId="00000016" w14:textId="77777777" w:rsidR="00AE5BDC" w:rsidRDefault="00AE5BDC">
      <w:pPr>
        <w:spacing w:after="0" w:line="240" w:lineRule="auto"/>
        <w:jc w:val="both"/>
        <w:rPr>
          <w:rFonts w:ascii="Roboto" w:eastAsia="Roboto" w:hAnsi="Roboto" w:cs="Roboto"/>
        </w:rPr>
      </w:pPr>
    </w:p>
    <w:p w14:paraId="00000017" w14:textId="77777777" w:rsidR="00AE5BDC" w:rsidRDefault="00351ADD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00000018" w14:textId="77777777" w:rsidR="00AE5BDC" w:rsidRDefault="00351ADD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 </w:t>
      </w:r>
    </w:p>
    <w:p w14:paraId="00000019" w14:textId="77777777" w:rsidR="00AE5BDC" w:rsidRDefault="00351ADD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0000001A" w14:textId="77777777" w:rsidR="00AE5BDC" w:rsidRDefault="00AE5BDC">
      <w:pPr>
        <w:spacing w:after="0" w:line="240" w:lineRule="auto"/>
        <w:jc w:val="both"/>
        <w:rPr>
          <w:rFonts w:ascii="Roboto" w:eastAsia="Roboto" w:hAnsi="Roboto" w:cs="Roboto"/>
        </w:rPr>
      </w:pPr>
    </w:p>
    <w:p w14:paraId="0000001B" w14:textId="77777777" w:rsidR="00AE5BDC" w:rsidRDefault="00000000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  <w:color w:val="E83544"/>
        </w:rPr>
      </w:pPr>
      <w:hyperlink r:id="rId12">
        <w:r w:rsidR="00351ADD">
          <w:rPr>
            <w:rFonts w:ascii="Roboto" w:eastAsia="Roboto" w:hAnsi="Roboto" w:cs="Roboto"/>
            <w:color w:val="E83544"/>
            <w:u w:val="single"/>
          </w:rPr>
          <w:t>www.enac.es</w:t>
        </w:r>
      </w:hyperlink>
      <w:r w:rsidR="00351ADD">
        <w:rPr>
          <w:rFonts w:ascii="Roboto" w:eastAsia="Roboto" w:hAnsi="Roboto" w:cs="Roboto"/>
          <w:color w:val="E83544"/>
        </w:rPr>
        <w:t xml:space="preserve"> </w:t>
      </w:r>
    </w:p>
    <w:p w14:paraId="0000001C" w14:textId="77777777" w:rsidR="00AE5BDC" w:rsidRDefault="00AE5BDC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  <w:color w:val="E83544"/>
        </w:rPr>
      </w:pPr>
    </w:p>
    <w:p w14:paraId="0000001D" w14:textId="77777777" w:rsidR="00AE5BDC" w:rsidRDefault="00351ADD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FF"/>
        </w:rPr>
        <w:t xml:space="preserve"> </w:t>
      </w:r>
      <w:r>
        <w:rPr>
          <w:rFonts w:ascii="Roboto" w:eastAsia="Roboto" w:hAnsi="Roboto" w:cs="Roboto"/>
          <w:noProof/>
          <w:color w:val="0000FF"/>
        </w:rPr>
        <w:drawing>
          <wp:inline distT="0" distB="0" distL="0" distR="0" wp14:anchorId="311F0BA9" wp14:editId="07777777">
            <wp:extent cx="304800" cy="304800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</w:rPr>
        <w:t xml:space="preserve">  </w:t>
      </w:r>
      <w:r>
        <w:rPr>
          <w:rFonts w:ascii="Roboto" w:eastAsia="Roboto" w:hAnsi="Roboto" w:cs="Roboto"/>
          <w:noProof/>
          <w:color w:val="0000FF"/>
        </w:rPr>
        <w:drawing>
          <wp:inline distT="0" distB="0" distL="0" distR="0" wp14:anchorId="72F0F28F" wp14:editId="07777777">
            <wp:extent cx="304800" cy="30480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E" w14:textId="77777777" w:rsidR="00AE5BDC" w:rsidRDefault="00AE5BDC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  <w:color w:val="E83544"/>
        </w:rPr>
      </w:pPr>
    </w:p>
    <w:p w14:paraId="0000001F" w14:textId="77777777" w:rsidR="00AE5BDC" w:rsidRDefault="00AE5BDC">
      <w:pPr>
        <w:spacing w:after="0" w:line="240" w:lineRule="auto"/>
        <w:jc w:val="both"/>
        <w:rPr>
          <w:rFonts w:ascii="Roboto" w:eastAsia="Roboto" w:hAnsi="Roboto" w:cs="Roboto"/>
          <w:color w:val="E83544"/>
        </w:rPr>
      </w:pPr>
    </w:p>
    <w:p w14:paraId="00000020" w14:textId="77777777" w:rsidR="00AE5BDC" w:rsidRDefault="00351ADD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Para más información sobre la nota de prensa, resolver dudas o gestionar entrevistas</w:t>
      </w:r>
    </w:p>
    <w:p w14:paraId="00000021" w14:textId="77777777" w:rsidR="00AE5BDC" w:rsidRDefault="00351ADD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Eva Martín</w:t>
      </w:r>
    </w:p>
    <w:p w14:paraId="00000022" w14:textId="77777777" w:rsidR="00AE5BDC" w:rsidRDefault="00351ADD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Tfno. 628 17 49 01 / </w:t>
      </w:r>
      <w:r>
        <w:rPr>
          <w:rFonts w:ascii="Roboto" w:eastAsia="Roboto" w:hAnsi="Roboto" w:cs="Roboto"/>
          <w:color w:val="E83544"/>
        </w:rPr>
        <w:t xml:space="preserve"> </w:t>
      </w:r>
      <w:hyperlink r:id="rId15">
        <w:r>
          <w:rPr>
            <w:rFonts w:ascii="Roboto" w:eastAsia="Roboto" w:hAnsi="Roboto" w:cs="Roboto"/>
            <w:color w:val="E83544"/>
            <w:u w:val="single"/>
          </w:rPr>
          <w:t>evamc@varenga.es</w:t>
        </w:r>
      </w:hyperlink>
    </w:p>
    <w:p w14:paraId="00000023" w14:textId="77777777" w:rsidR="00AE5BDC" w:rsidRDefault="00AE5BDC">
      <w:pPr>
        <w:rPr>
          <w:rFonts w:ascii="Roboto" w:eastAsia="Roboto" w:hAnsi="Roboto" w:cs="Roboto"/>
        </w:rPr>
      </w:pPr>
    </w:p>
    <w:p w14:paraId="00000024" w14:textId="77777777" w:rsidR="00AE5BDC" w:rsidRDefault="00AE5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  <w:bookmarkStart w:id="0" w:name="_gjdgxs" w:colFirst="0" w:colLast="0"/>
      <w:bookmarkEnd w:id="0"/>
    </w:p>
    <w:sectPr w:rsidR="00AE5BDC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F74C" w14:textId="77777777" w:rsidR="008031BB" w:rsidRDefault="008031BB">
      <w:pPr>
        <w:spacing w:after="0" w:line="240" w:lineRule="auto"/>
      </w:pPr>
      <w:r>
        <w:separator/>
      </w:r>
    </w:p>
  </w:endnote>
  <w:endnote w:type="continuationSeparator" w:id="0">
    <w:p w14:paraId="31F081D5" w14:textId="77777777" w:rsidR="008031BB" w:rsidRDefault="008031BB">
      <w:pPr>
        <w:spacing w:after="0" w:line="240" w:lineRule="auto"/>
      </w:pPr>
      <w:r>
        <w:continuationSeparator/>
      </w:r>
    </w:p>
  </w:endnote>
  <w:endnote w:type="continuationNotice" w:id="1">
    <w:p w14:paraId="20E8CFB4" w14:textId="77777777" w:rsidR="008031BB" w:rsidRDefault="008031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2CD8D1AF" w:rsidR="00AE5BDC" w:rsidRDefault="00351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D5F3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886B" w14:textId="77777777" w:rsidR="008031BB" w:rsidRDefault="008031BB">
      <w:pPr>
        <w:spacing w:after="0" w:line="240" w:lineRule="auto"/>
      </w:pPr>
      <w:r>
        <w:separator/>
      </w:r>
    </w:p>
  </w:footnote>
  <w:footnote w:type="continuationSeparator" w:id="0">
    <w:p w14:paraId="5FF59D6D" w14:textId="77777777" w:rsidR="008031BB" w:rsidRDefault="008031BB">
      <w:pPr>
        <w:spacing w:after="0" w:line="240" w:lineRule="auto"/>
      </w:pPr>
      <w:r>
        <w:continuationSeparator/>
      </w:r>
    </w:p>
  </w:footnote>
  <w:footnote w:type="continuationNotice" w:id="1">
    <w:p w14:paraId="1A6D071C" w14:textId="77777777" w:rsidR="008031BB" w:rsidRDefault="008031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AE5BDC" w:rsidRDefault="00351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40"/>
        <w:szCs w:val="40"/>
      </w:rPr>
    </w:pPr>
    <w:r>
      <w:rPr>
        <w:b/>
        <w:color w:val="000000"/>
        <w:sz w:val="40"/>
        <w:szCs w:val="40"/>
      </w:rPr>
      <w:t>NOTA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574F2C" wp14:editId="07777777">
          <wp:simplePos x="0" y="0"/>
          <wp:positionH relativeFrom="column">
            <wp:posOffset>4200525</wp:posOffset>
          </wp:positionH>
          <wp:positionV relativeFrom="paragraph">
            <wp:posOffset>-390524</wp:posOffset>
          </wp:positionV>
          <wp:extent cx="1284153" cy="931439"/>
          <wp:effectExtent l="0" t="0" r="0" b="0"/>
          <wp:wrapNone/>
          <wp:docPr id="2" name="Imagen 2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4153" cy="931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5yzc/SYdi84DM" int2:id="vfjFruZ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A421"/>
    <w:multiLevelType w:val="multilevel"/>
    <w:tmpl w:val="B602102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2C7D2B"/>
    <w:multiLevelType w:val="hybridMultilevel"/>
    <w:tmpl w:val="7F3A66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88631"/>
    <w:multiLevelType w:val="multilevel"/>
    <w:tmpl w:val="5FC8D1F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5586802">
    <w:abstractNumId w:val="0"/>
  </w:num>
  <w:num w:numId="2" w16cid:durableId="1946110692">
    <w:abstractNumId w:val="2"/>
  </w:num>
  <w:num w:numId="3" w16cid:durableId="170586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3D3872"/>
    <w:rsid w:val="000737D2"/>
    <w:rsid w:val="00083093"/>
    <w:rsid w:val="001271B3"/>
    <w:rsid w:val="002C6D2E"/>
    <w:rsid w:val="0035139F"/>
    <w:rsid w:val="00351ADD"/>
    <w:rsid w:val="00375B25"/>
    <w:rsid w:val="0042792E"/>
    <w:rsid w:val="004345FE"/>
    <w:rsid w:val="00491EB0"/>
    <w:rsid w:val="004922D4"/>
    <w:rsid w:val="005F3B3F"/>
    <w:rsid w:val="00624436"/>
    <w:rsid w:val="0067297A"/>
    <w:rsid w:val="0071787A"/>
    <w:rsid w:val="00724B23"/>
    <w:rsid w:val="00765ABF"/>
    <w:rsid w:val="008031BB"/>
    <w:rsid w:val="008A788F"/>
    <w:rsid w:val="00913BBD"/>
    <w:rsid w:val="009D2820"/>
    <w:rsid w:val="00A44124"/>
    <w:rsid w:val="00A75C5C"/>
    <w:rsid w:val="00AA3BD4"/>
    <w:rsid w:val="00AD0A8A"/>
    <w:rsid w:val="00AD6A8F"/>
    <w:rsid w:val="00AE5BDC"/>
    <w:rsid w:val="00AF7651"/>
    <w:rsid w:val="00B54B77"/>
    <w:rsid w:val="00B90409"/>
    <w:rsid w:val="00BC17E2"/>
    <w:rsid w:val="00C36FDC"/>
    <w:rsid w:val="00CD20C6"/>
    <w:rsid w:val="00CD5F3F"/>
    <w:rsid w:val="00D121A4"/>
    <w:rsid w:val="00DB51D9"/>
    <w:rsid w:val="00F41814"/>
    <w:rsid w:val="0F4381CD"/>
    <w:rsid w:val="0FFE6582"/>
    <w:rsid w:val="117C0D45"/>
    <w:rsid w:val="1C3D3872"/>
    <w:rsid w:val="1EF162E4"/>
    <w:rsid w:val="21686989"/>
    <w:rsid w:val="2D2627E6"/>
    <w:rsid w:val="2E5F7940"/>
    <w:rsid w:val="2FFB49A1"/>
    <w:rsid w:val="55770740"/>
    <w:rsid w:val="7A1C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5E61"/>
  <w15:docId w15:val="{179BEFD9-50DF-4056-BA78-32F4CA05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CD5F3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A3B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3B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3B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3B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3BD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24B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F7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7651"/>
  </w:style>
  <w:style w:type="paragraph" w:styleId="Piedepgina">
    <w:name w:val="footer"/>
    <w:basedOn w:val="Normal"/>
    <w:link w:val="PiedepginaCar"/>
    <w:uiPriority w:val="99"/>
    <w:semiHidden/>
    <w:unhideWhenUsed/>
    <w:rsid w:val="00AF7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7651"/>
  </w:style>
  <w:style w:type="character" w:styleId="Mencionar">
    <w:name w:val="Mention"/>
    <w:basedOn w:val="Fuentedeprrafopredeter"/>
    <w:uiPriority w:val="99"/>
    <w:unhideWhenUsed/>
    <w:rsid w:val="002C6D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ac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e.es/buscar/pdf/2022/BOE-A-2022-22690-consolidado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evamc@varenga.es" TargetMode="External"/><Relationship Id="rId10" Type="http://schemas.openxmlformats.org/officeDocument/2006/relationships/hyperlink" Target="https://www.boe.es/buscar/pdf/2022/BOE-A-2022-22690-consolidado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513C56F5-28CB-41A7-B8E7-BD5886751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FF81D-21BC-4ED7-AAB2-9560CC53C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82BFD-07DB-4094-B2A5-0F7FA1314603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Denise Diaz Pozo</cp:lastModifiedBy>
  <cp:revision>19</cp:revision>
  <dcterms:created xsi:type="dcterms:W3CDTF">2023-03-13T16:30:00Z</dcterms:created>
  <dcterms:modified xsi:type="dcterms:W3CDTF">2023-03-30T07:46:00Z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