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3558" w14:textId="77777777" w:rsidR="00894DBC" w:rsidRDefault="00894DBC">
      <w:pPr>
        <w:jc w:val="both"/>
        <w:rPr>
          <w:rFonts w:ascii="Roboto" w:eastAsia="Roboto" w:hAnsi="Roboto" w:cs="Roboto"/>
          <w:b/>
          <w:sz w:val="32"/>
          <w:szCs w:val="32"/>
        </w:rPr>
      </w:pPr>
    </w:p>
    <w:p w14:paraId="445A3559" w14:textId="77777777" w:rsidR="00894DBC" w:rsidRDefault="00894DBC">
      <w:pPr>
        <w:jc w:val="center"/>
        <w:rPr>
          <w:rFonts w:ascii="Roboto" w:eastAsia="Roboto" w:hAnsi="Roboto" w:cs="Roboto"/>
          <w:sz w:val="22"/>
          <w:szCs w:val="22"/>
          <w:u w:val="single"/>
        </w:rPr>
      </w:pPr>
      <w:bookmarkStart w:id="0" w:name="_gjdgxs" w:colFirst="0" w:colLast="0"/>
      <w:bookmarkEnd w:id="0"/>
    </w:p>
    <w:p w14:paraId="445A355A" w14:textId="77777777" w:rsidR="00894DBC" w:rsidRDefault="004814E9">
      <w:pPr>
        <w:spacing w:after="160" w:line="259" w:lineRule="auto"/>
        <w:jc w:val="center"/>
        <w:rPr>
          <w:rFonts w:ascii="Roboto" w:eastAsia="Roboto" w:hAnsi="Roboto" w:cs="Roboto"/>
          <w:b/>
          <w:sz w:val="32"/>
          <w:szCs w:val="32"/>
        </w:rPr>
      </w:pPr>
      <w:r>
        <w:rPr>
          <w:rFonts w:ascii="Roboto" w:eastAsia="Roboto" w:hAnsi="Roboto" w:cs="Roboto"/>
          <w:b/>
          <w:sz w:val="32"/>
          <w:szCs w:val="32"/>
        </w:rPr>
        <w:t>Las entidades colaboradoras de la Administración hidráulica en materia de seguridad de presas y embalses deberán estar acreditadas por ENAC</w:t>
      </w:r>
    </w:p>
    <w:p w14:paraId="445A355B" w14:textId="77777777" w:rsidR="00894DBC" w:rsidRDefault="00894DBC">
      <w:pPr>
        <w:jc w:val="both"/>
        <w:rPr>
          <w:rFonts w:ascii="Roboto" w:eastAsia="Roboto" w:hAnsi="Roboto" w:cs="Roboto"/>
          <w:b/>
          <w:sz w:val="20"/>
          <w:szCs w:val="20"/>
        </w:rPr>
      </w:pPr>
      <w:bookmarkStart w:id="1" w:name="_yeqv3039hi6c" w:colFirst="0" w:colLast="0"/>
      <w:bookmarkEnd w:id="1"/>
    </w:p>
    <w:p w14:paraId="445A355C" w14:textId="77777777" w:rsidR="00894DBC" w:rsidRDefault="004814E9">
      <w:pPr>
        <w:numPr>
          <w:ilvl w:val="0"/>
          <w:numId w:val="1"/>
        </w:numPr>
        <w:spacing w:after="160" w:line="259" w:lineRule="auto"/>
        <w:jc w:val="both"/>
        <w:rPr>
          <w:rFonts w:ascii="Roboto" w:eastAsia="Roboto" w:hAnsi="Roboto" w:cs="Roboto"/>
          <w:b/>
          <w:sz w:val="20"/>
          <w:szCs w:val="20"/>
        </w:rPr>
      </w:pPr>
      <w:r>
        <w:rPr>
          <w:rFonts w:ascii="Roboto" w:eastAsia="Roboto" w:hAnsi="Roboto" w:cs="Roboto"/>
          <w:b/>
          <w:sz w:val="20"/>
          <w:szCs w:val="20"/>
        </w:rPr>
        <w:t>La Administración pública confía, una vez más en la acreditación como herramienta para garantizar la seguridad e integridad de actividades de evaluación, en este caso, relativas a la inspección y control de la seguridad de presas y embalses</w:t>
      </w:r>
    </w:p>
    <w:p w14:paraId="445A355D" w14:textId="77777777" w:rsidR="00894DBC" w:rsidRDefault="004814E9">
      <w:pPr>
        <w:numPr>
          <w:ilvl w:val="0"/>
          <w:numId w:val="1"/>
        </w:numPr>
        <w:jc w:val="both"/>
        <w:rPr>
          <w:rFonts w:ascii="Roboto" w:eastAsia="Roboto" w:hAnsi="Roboto" w:cs="Roboto"/>
          <w:b/>
          <w:sz w:val="20"/>
          <w:szCs w:val="20"/>
        </w:rPr>
      </w:pPr>
      <w:r>
        <w:rPr>
          <w:rFonts w:ascii="Roboto" w:eastAsia="Roboto" w:hAnsi="Roboto" w:cs="Roboto"/>
          <w:b/>
          <w:sz w:val="20"/>
          <w:szCs w:val="20"/>
        </w:rPr>
        <w:t xml:space="preserve">El Ministerio para la Transición Ecológica y el Reto Demográfico publicará en breve la Orden Ministerial que exigirá la acreditación ENAC a las entidades que quieran autorizarse para colaborar con la Administración competente en esta materia </w:t>
      </w:r>
    </w:p>
    <w:p w14:paraId="445A355E" w14:textId="77777777" w:rsidR="00894DBC" w:rsidRDefault="00894DBC">
      <w:pPr>
        <w:ind w:left="720"/>
      </w:pPr>
    </w:p>
    <w:p w14:paraId="761A2663" w14:textId="77777777" w:rsidR="00D702CF" w:rsidRDefault="00D702CF">
      <w:pPr>
        <w:jc w:val="both"/>
        <w:rPr>
          <w:rFonts w:ascii="Roboto" w:eastAsia="Roboto" w:hAnsi="Roboto" w:cs="Roboto"/>
          <w:sz w:val="22"/>
          <w:szCs w:val="22"/>
        </w:rPr>
      </w:pPr>
    </w:p>
    <w:p w14:paraId="445A355F" w14:textId="24CA0B24" w:rsidR="00894DBC" w:rsidRDefault="004814E9">
      <w:pPr>
        <w:jc w:val="both"/>
        <w:rPr>
          <w:rFonts w:ascii="Roboto" w:eastAsia="Roboto" w:hAnsi="Roboto" w:cs="Roboto"/>
          <w:sz w:val="22"/>
          <w:szCs w:val="22"/>
        </w:rPr>
      </w:pPr>
      <w:r>
        <w:rPr>
          <w:rFonts w:ascii="Roboto" w:eastAsia="Roboto" w:hAnsi="Roboto" w:cs="Roboto"/>
          <w:sz w:val="22"/>
          <w:szCs w:val="22"/>
        </w:rPr>
        <w:t xml:space="preserve">Madrid, 18 de enero de 2023 - El </w:t>
      </w:r>
      <w:r>
        <w:rPr>
          <w:rFonts w:ascii="Roboto" w:eastAsia="Roboto" w:hAnsi="Roboto" w:cs="Roboto"/>
          <w:b/>
          <w:sz w:val="22"/>
          <w:szCs w:val="22"/>
        </w:rPr>
        <w:t xml:space="preserve">Ministerio para la Transición Ecológica y el Reto Demográfico </w:t>
      </w:r>
      <w:r>
        <w:rPr>
          <w:rFonts w:ascii="Roboto" w:eastAsia="Roboto" w:hAnsi="Roboto" w:cs="Roboto"/>
          <w:sz w:val="22"/>
          <w:szCs w:val="22"/>
        </w:rPr>
        <w:t xml:space="preserve">publicará próximamente una Orden Ministerial en la que establecerá las condiciones para la obtención del título de </w:t>
      </w:r>
      <w:r>
        <w:rPr>
          <w:rFonts w:ascii="Roboto" w:eastAsia="Roboto" w:hAnsi="Roboto" w:cs="Roboto"/>
          <w:b/>
          <w:sz w:val="22"/>
          <w:szCs w:val="22"/>
        </w:rPr>
        <w:t>entidad colaboradora de la Administración hidráulica en materia de control de la seguridad de presas y sus embalses</w:t>
      </w:r>
      <w:r>
        <w:rPr>
          <w:rFonts w:ascii="Roboto" w:eastAsia="Roboto" w:hAnsi="Roboto" w:cs="Roboto"/>
          <w:sz w:val="22"/>
          <w:szCs w:val="22"/>
        </w:rPr>
        <w:t xml:space="preserve">. Estas entidades estarán autorizadas para colaborar con la Administración Pública competente, en este caso, con la Dirección General del Agua, en las labores de control, de carácter técnico especializado, relativas a la seguridad de presas y embalses. </w:t>
      </w:r>
    </w:p>
    <w:p w14:paraId="445A3560" w14:textId="77777777" w:rsidR="00894DBC" w:rsidRDefault="00894DBC">
      <w:pPr>
        <w:jc w:val="both"/>
        <w:rPr>
          <w:rFonts w:ascii="Roboto" w:eastAsia="Roboto" w:hAnsi="Roboto" w:cs="Roboto"/>
          <w:sz w:val="22"/>
          <w:szCs w:val="22"/>
        </w:rPr>
      </w:pPr>
    </w:p>
    <w:p w14:paraId="445A3561" w14:textId="77777777" w:rsidR="00894DBC" w:rsidRDefault="004814E9">
      <w:pPr>
        <w:spacing w:after="160" w:line="259" w:lineRule="auto"/>
        <w:jc w:val="both"/>
        <w:rPr>
          <w:rFonts w:ascii="Roboto" w:eastAsia="Roboto" w:hAnsi="Roboto" w:cs="Roboto"/>
          <w:sz w:val="22"/>
          <w:szCs w:val="22"/>
        </w:rPr>
      </w:pPr>
      <w:r w:rsidRPr="5577EEE5">
        <w:rPr>
          <w:rFonts w:ascii="Roboto" w:eastAsia="Roboto" w:hAnsi="Roboto" w:cs="Roboto"/>
          <w:sz w:val="22"/>
          <w:szCs w:val="22"/>
        </w:rPr>
        <w:t>Entre los requisitos establecidos en la Orden,</w:t>
      </w:r>
      <w:r w:rsidRPr="5577EEE5">
        <w:rPr>
          <w:rFonts w:ascii="Roboto" w:eastAsia="Roboto" w:hAnsi="Roboto" w:cs="Roboto"/>
          <w:b/>
          <w:bCs/>
          <w:sz w:val="22"/>
          <w:szCs w:val="22"/>
        </w:rPr>
        <w:t xml:space="preserve"> el Ministerio exigirá que los solicitantes dispongan de la acreditación de ENAC, la </w:t>
      </w:r>
      <w:hyperlink r:id="rId10" w:history="1">
        <w:r w:rsidRPr="5577EEE5">
          <w:rPr>
            <w:rFonts w:ascii="Roboto" w:eastAsia="Roboto" w:hAnsi="Roboto" w:cs="Roboto"/>
            <w:b/>
            <w:bCs/>
            <w:sz w:val="22"/>
            <w:szCs w:val="22"/>
          </w:rPr>
          <w:t>Entidad Nacional de Acreditación</w:t>
        </w:r>
      </w:hyperlink>
      <w:r w:rsidRPr="5577EEE5">
        <w:rPr>
          <w:rFonts w:ascii="Roboto" w:eastAsia="Roboto" w:hAnsi="Roboto" w:cs="Roboto"/>
          <w:sz w:val="22"/>
          <w:szCs w:val="22"/>
        </w:rPr>
        <w:t xml:space="preserve"> en base a los requisitos de la </w:t>
      </w:r>
      <w:r w:rsidRPr="5577EEE5">
        <w:rPr>
          <w:rFonts w:ascii="Roboto" w:eastAsia="Roboto" w:hAnsi="Roboto" w:cs="Roboto"/>
          <w:b/>
          <w:bCs/>
          <w:sz w:val="22"/>
          <w:szCs w:val="22"/>
        </w:rPr>
        <w:t xml:space="preserve">norma UNE-EN ISO/IEC 17020. </w:t>
      </w:r>
      <w:r w:rsidRPr="5577EEE5">
        <w:rPr>
          <w:rFonts w:ascii="Roboto" w:eastAsia="Roboto" w:hAnsi="Roboto" w:cs="Roboto"/>
          <w:sz w:val="22"/>
          <w:szCs w:val="22"/>
        </w:rPr>
        <w:t xml:space="preserve">Con este fin, ENAC y la Dirección General del Agua han colaborado estrechamente para definir requisitos complementarios que ajustan los requisitos de la norma a la actividad a realizar y a las necesidades concretas del Ministerio. </w:t>
      </w:r>
    </w:p>
    <w:p w14:paraId="445A3562" w14:textId="41F60699" w:rsidR="00894DBC" w:rsidRDefault="004814E9">
      <w:pPr>
        <w:spacing w:after="160" w:line="259" w:lineRule="auto"/>
        <w:jc w:val="both"/>
        <w:rPr>
          <w:rFonts w:ascii="Roboto" w:eastAsia="Roboto" w:hAnsi="Roboto" w:cs="Roboto"/>
          <w:sz w:val="22"/>
          <w:szCs w:val="22"/>
        </w:rPr>
      </w:pPr>
      <w:r w:rsidRPr="5577EEE5">
        <w:rPr>
          <w:rFonts w:ascii="Roboto" w:eastAsia="Roboto" w:hAnsi="Roboto" w:cs="Roboto"/>
          <w:sz w:val="22"/>
          <w:szCs w:val="22"/>
        </w:rPr>
        <w:t xml:space="preserve">En este sentido, Teodoro </w:t>
      </w:r>
      <w:proofErr w:type="spellStart"/>
      <w:r w:rsidRPr="5577EEE5">
        <w:rPr>
          <w:rFonts w:ascii="Roboto" w:eastAsia="Roboto" w:hAnsi="Roboto" w:cs="Roboto"/>
          <w:sz w:val="22"/>
          <w:szCs w:val="22"/>
        </w:rPr>
        <w:t>Estrela</w:t>
      </w:r>
      <w:proofErr w:type="spellEnd"/>
      <w:r w:rsidRPr="5577EEE5">
        <w:rPr>
          <w:rFonts w:ascii="Roboto" w:eastAsia="Roboto" w:hAnsi="Roboto" w:cs="Roboto"/>
          <w:sz w:val="22"/>
          <w:szCs w:val="22"/>
        </w:rPr>
        <w:t xml:space="preserve">, </w:t>
      </w:r>
      <w:bookmarkStart w:id="2" w:name="_Int_UvwkrhWr"/>
      <w:proofErr w:type="gramStart"/>
      <w:r w:rsidRPr="5577EEE5">
        <w:rPr>
          <w:rFonts w:ascii="Roboto" w:eastAsia="Roboto" w:hAnsi="Roboto" w:cs="Roboto"/>
          <w:sz w:val="22"/>
          <w:szCs w:val="22"/>
        </w:rPr>
        <w:t>Director General</w:t>
      </w:r>
      <w:bookmarkEnd w:id="2"/>
      <w:proofErr w:type="gramEnd"/>
      <w:r w:rsidRPr="5577EEE5">
        <w:rPr>
          <w:rFonts w:ascii="Roboto" w:eastAsia="Roboto" w:hAnsi="Roboto" w:cs="Roboto"/>
          <w:sz w:val="22"/>
          <w:szCs w:val="22"/>
        </w:rPr>
        <w:t xml:space="preserve"> del Agua presentará</w:t>
      </w:r>
      <w:r w:rsidR="001D52AC" w:rsidRPr="5577EEE5">
        <w:rPr>
          <w:rFonts w:ascii="Roboto" w:eastAsia="Roboto" w:hAnsi="Roboto" w:cs="Roboto"/>
          <w:sz w:val="22"/>
          <w:szCs w:val="22"/>
        </w:rPr>
        <w:t xml:space="preserve"> el citado proyecto de Orden Ministerial</w:t>
      </w:r>
      <w:r w:rsidRPr="5577EEE5">
        <w:rPr>
          <w:rFonts w:ascii="Roboto" w:eastAsia="Roboto" w:hAnsi="Roboto" w:cs="Roboto"/>
          <w:sz w:val="22"/>
          <w:szCs w:val="22"/>
        </w:rPr>
        <w:t xml:space="preserve"> en una </w:t>
      </w:r>
      <w:hyperlink r:id="rId11" w:history="1">
        <w:r w:rsidRPr="5577EEE5">
          <w:rPr>
            <w:rFonts w:ascii="Roboto" w:eastAsia="Roboto" w:hAnsi="Roboto" w:cs="Roboto"/>
            <w:color w:val="1155CC"/>
            <w:sz w:val="22"/>
            <w:szCs w:val="22"/>
            <w:u w:val="single"/>
          </w:rPr>
          <w:t>Jornada</w:t>
        </w:r>
      </w:hyperlink>
      <w:r w:rsidR="0064487E">
        <w:t xml:space="preserve"> </w:t>
      </w:r>
      <w:r w:rsidR="0064487E" w:rsidRPr="00D702CF">
        <w:rPr>
          <w:rFonts w:ascii="Roboto" w:hAnsi="Roboto" w:cstheme="majorBidi"/>
          <w:sz w:val="22"/>
          <w:szCs w:val="22"/>
        </w:rPr>
        <w:t>que tendrá lugar</w:t>
      </w:r>
      <w:r w:rsidRPr="00D702CF">
        <w:rPr>
          <w:rFonts w:ascii="Roboto" w:eastAsia="Roboto" w:hAnsi="Roboto" w:cs="Roboto"/>
          <w:sz w:val="20"/>
          <w:szCs w:val="20"/>
        </w:rPr>
        <w:t xml:space="preserve"> </w:t>
      </w:r>
      <w:r w:rsidRPr="5577EEE5">
        <w:rPr>
          <w:rFonts w:ascii="Roboto" w:eastAsia="Roboto" w:hAnsi="Roboto" w:cs="Roboto"/>
          <w:sz w:val="22"/>
          <w:szCs w:val="22"/>
        </w:rPr>
        <w:t xml:space="preserve">este miércoles, 18 de enero.   Ignacio Pina y Luis Manuel Rodríguez, director técnico y jefe del departamento de Inspección y Organismos de Control de ENAC, </w:t>
      </w:r>
      <w:r w:rsidR="2B6DD2A1" w:rsidRPr="5577EEE5">
        <w:rPr>
          <w:rFonts w:ascii="Roboto" w:eastAsia="Roboto" w:hAnsi="Roboto" w:cs="Roboto"/>
          <w:sz w:val="22"/>
          <w:szCs w:val="22"/>
        </w:rPr>
        <w:t>respectivamente, explicarán</w:t>
      </w:r>
      <w:r w:rsidRPr="5577EEE5">
        <w:rPr>
          <w:rFonts w:ascii="Roboto" w:eastAsia="Roboto" w:hAnsi="Roboto" w:cs="Roboto"/>
          <w:sz w:val="22"/>
          <w:szCs w:val="22"/>
        </w:rPr>
        <w:t xml:space="preserve"> el proceso de acreditación de las entidades colaboradoras en materia de control de la seguridad de presas y embalses.</w:t>
      </w:r>
    </w:p>
    <w:p w14:paraId="48B6B852" w14:textId="77777777" w:rsidR="00D702CF" w:rsidRDefault="00D702CF">
      <w:pPr>
        <w:spacing w:after="160" w:line="259" w:lineRule="auto"/>
        <w:jc w:val="both"/>
        <w:rPr>
          <w:rFonts w:ascii="Roboto" w:eastAsia="Roboto" w:hAnsi="Roboto" w:cs="Roboto"/>
          <w:b/>
          <w:sz w:val="22"/>
          <w:szCs w:val="22"/>
          <w:u w:val="single"/>
        </w:rPr>
      </w:pPr>
    </w:p>
    <w:p w14:paraId="445A3563" w14:textId="2B8281B5" w:rsidR="00894DBC" w:rsidRDefault="004814E9">
      <w:pPr>
        <w:spacing w:after="160" w:line="259" w:lineRule="auto"/>
        <w:jc w:val="both"/>
        <w:rPr>
          <w:rFonts w:ascii="Roboto" w:eastAsia="Roboto" w:hAnsi="Roboto" w:cs="Roboto"/>
          <w:b/>
          <w:sz w:val="22"/>
          <w:szCs w:val="22"/>
          <w:u w:val="single"/>
        </w:rPr>
      </w:pPr>
      <w:r>
        <w:rPr>
          <w:rFonts w:ascii="Roboto" w:eastAsia="Roboto" w:hAnsi="Roboto" w:cs="Roboto"/>
          <w:b/>
          <w:sz w:val="22"/>
          <w:szCs w:val="22"/>
          <w:u w:val="single"/>
        </w:rPr>
        <w:t xml:space="preserve">Colaboración con la Administración </w:t>
      </w:r>
    </w:p>
    <w:p w14:paraId="445A3564" w14:textId="77777777" w:rsidR="00894DBC" w:rsidRDefault="004814E9">
      <w:pPr>
        <w:spacing w:after="160" w:line="259" w:lineRule="auto"/>
        <w:jc w:val="both"/>
        <w:rPr>
          <w:rFonts w:ascii="Roboto" w:eastAsia="Roboto" w:hAnsi="Roboto" w:cs="Roboto"/>
          <w:sz w:val="22"/>
          <w:szCs w:val="22"/>
        </w:rPr>
      </w:pPr>
      <w:r>
        <w:rPr>
          <w:rFonts w:ascii="Roboto" w:eastAsia="Roboto" w:hAnsi="Roboto" w:cs="Roboto"/>
          <w:sz w:val="22"/>
          <w:szCs w:val="22"/>
        </w:rPr>
        <w:t xml:space="preserve">El apoyo a las diferentes administraciones en la definición y diseño de esquemas de acreditación ajustados a sus necesidades es una actividad estratégica para ENAC que cada vez se aprecia más por parte de los reguladores para lograr un despliegue eficaz de sus políticas en materia de evaluación del cumplimiento. </w:t>
      </w:r>
    </w:p>
    <w:p w14:paraId="445A3565" w14:textId="77777777" w:rsidR="00894DBC" w:rsidRDefault="004814E9">
      <w:pPr>
        <w:spacing w:after="160" w:line="259" w:lineRule="auto"/>
        <w:jc w:val="both"/>
        <w:rPr>
          <w:rFonts w:ascii="Roboto" w:eastAsia="Roboto" w:hAnsi="Roboto" w:cs="Roboto"/>
          <w:sz w:val="22"/>
          <w:szCs w:val="22"/>
        </w:rPr>
      </w:pPr>
      <w:r>
        <w:rPr>
          <w:rFonts w:ascii="Roboto" w:eastAsia="Roboto" w:hAnsi="Roboto" w:cs="Roboto"/>
          <w:sz w:val="22"/>
          <w:szCs w:val="22"/>
        </w:rPr>
        <w:t>En la actualidad, más de 200 disposiciones nacionales y autonómicas, así como más de 100 a nivel europeo, incorporan la acreditación para garantizar la fiabilidad de los productos y servicios, desarrollar mercados seguros y reforzar la protección de los consumidores en áreas tan diversas como la seguridad industrial, la salud pública, la ciberseguridad, el control de alimentos o la protección medioambiental.</w:t>
      </w:r>
    </w:p>
    <w:p w14:paraId="445A3566" w14:textId="77777777" w:rsidR="00894DBC" w:rsidRDefault="00894DBC">
      <w:pPr>
        <w:jc w:val="both"/>
        <w:rPr>
          <w:rFonts w:ascii="Roboto" w:eastAsia="Roboto" w:hAnsi="Roboto" w:cs="Roboto"/>
          <w:sz w:val="20"/>
          <w:szCs w:val="20"/>
        </w:rPr>
      </w:pPr>
    </w:p>
    <w:p w14:paraId="445A3567" w14:textId="77777777" w:rsidR="00894DBC" w:rsidRDefault="004814E9">
      <w:pPr>
        <w:jc w:val="both"/>
        <w:rPr>
          <w:rFonts w:ascii="Roboto" w:eastAsia="Roboto" w:hAnsi="Roboto" w:cs="Roboto"/>
          <w:color w:val="FF0000"/>
          <w:sz w:val="22"/>
          <w:szCs w:val="22"/>
          <w:highlight w:val="white"/>
        </w:rPr>
      </w:pPr>
      <w:r w:rsidRPr="00D702CF">
        <w:rPr>
          <w:rFonts w:ascii="Roboto" w:eastAsia="Roboto" w:hAnsi="Roboto" w:cs="Roboto"/>
          <w:sz w:val="22"/>
          <w:szCs w:val="22"/>
        </w:rPr>
        <w:t xml:space="preserve">En el caso concreto del sector del agua, </w:t>
      </w:r>
      <w:r w:rsidRPr="00D702CF">
        <w:rPr>
          <w:rFonts w:ascii="Roboto" w:eastAsia="Roboto" w:hAnsi="Roboto" w:cs="Roboto"/>
          <w:sz w:val="22"/>
          <w:szCs w:val="22"/>
          <w:highlight w:val="white"/>
        </w:rPr>
        <w:t>la participación de evaluadores acreditados, técnicamente competentes, aportan confianza en la adecuada gestión de la contaminación, control y protección del medioambiente y las aguas. Por este motivo, la Administración Pública recurre cada vez más a la acreditación como herramienta para garantizar la seguridad e integridad de actividades de evaluación de la conformidad</w:t>
      </w:r>
      <w:r>
        <w:rPr>
          <w:rFonts w:ascii="Roboto" w:eastAsia="Roboto" w:hAnsi="Roboto" w:cs="Roboto"/>
          <w:color w:val="FF0000"/>
          <w:sz w:val="22"/>
          <w:szCs w:val="22"/>
          <w:highlight w:val="white"/>
        </w:rPr>
        <w:t xml:space="preserve">. </w:t>
      </w:r>
    </w:p>
    <w:p w14:paraId="445A3568" w14:textId="77777777" w:rsidR="00894DBC" w:rsidRDefault="00894DBC">
      <w:pPr>
        <w:jc w:val="both"/>
        <w:rPr>
          <w:rFonts w:ascii="Roboto" w:eastAsia="Roboto" w:hAnsi="Roboto" w:cs="Roboto"/>
          <w:color w:val="FF0000"/>
          <w:sz w:val="22"/>
          <w:szCs w:val="22"/>
          <w:highlight w:val="white"/>
        </w:rPr>
      </w:pPr>
    </w:p>
    <w:p w14:paraId="445A3569" w14:textId="77777777" w:rsidR="00894DBC" w:rsidRDefault="004814E9">
      <w:pPr>
        <w:spacing w:after="200" w:line="276" w:lineRule="auto"/>
        <w:jc w:val="both"/>
        <w:rPr>
          <w:rFonts w:ascii="Roboto" w:eastAsia="Roboto" w:hAnsi="Roboto" w:cs="Roboto"/>
          <w:b/>
          <w:color w:val="E83544"/>
          <w:sz w:val="22"/>
          <w:szCs w:val="22"/>
        </w:rPr>
      </w:pPr>
      <w:r>
        <w:rPr>
          <w:rFonts w:ascii="Roboto" w:eastAsia="Roboto" w:hAnsi="Roboto" w:cs="Roboto"/>
          <w:b/>
          <w:color w:val="E83544"/>
          <w:sz w:val="22"/>
          <w:szCs w:val="22"/>
        </w:rPr>
        <w:t>Sobre ENAC</w:t>
      </w:r>
    </w:p>
    <w:p w14:paraId="445A356A" w14:textId="4D3CAB40" w:rsidR="00894DBC" w:rsidRDefault="004814E9">
      <w:pPr>
        <w:jc w:val="both"/>
        <w:rPr>
          <w:rFonts w:ascii="Roboto" w:eastAsia="Roboto" w:hAnsi="Roboto" w:cs="Roboto"/>
          <w:sz w:val="22"/>
          <w:szCs w:val="22"/>
        </w:rPr>
      </w:pPr>
      <w:r>
        <w:rPr>
          <w:rFonts w:ascii="Roboto" w:eastAsia="Roboto" w:hAnsi="Roboto" w:cs="Roboto"/>
          <w:sz w:val="22"/>
          <w:szCs w:val="22"/>
        </w:rPr>
        <w:t>La Entidad Nacional de Acreditación – ENAC – es la entidad designada por el Gobierno para operar en España como el único Organismo Nacional de Acreditación, en aplicación del Reglamento (CE) nº765/2008 del Parlamento Europeo que regula el funcionamiento de la acreditación en Europa.</w:t>
      </w:r>
    </w:p>
    <w:p w14:paraId="445A356B" w14:textId="77777777" w:rsidR="00894DBC" w:rsidRDefault="004814E9">
      <w:pPr>
        <w:jc w:val="both"/>
        <w:rPr>
          <w:rFonts w:ascii="Roboto" w:eastAsia="Roboto" w:hAnsi="Roboto" w:cs="Roboto"/>
          <w:sz w:val="22"/>
          <w:szCs w:val="22"/>
        </w:rPr>
      </w:pPr>
      <w:r>
        <w:rPr>
          <w:rFonts w:ascii="Roboto" w:eastAsia="Roboto" w:hAnsi="Roboto" w:cs="Roboto"/>
          <w:color w:val="1F497D"/>
          <w:sz w:val="22"/>
          <w:szCs w:val="22"/>
        </w:rPr>
        <w:t> </w:t>
      </w:r>
    </w:p>
    <w:p w14:paraId="445A356C" w14:textId="77777777" w:rsidR="00894DBC" w:rsidRDefault="004814E9">
      <w:pPr>
        <w:jc w:val="both"/>
        <w:rPr>
          <w:rFonts w:ascii="Roboto" w:eastAsia="Roboto" w:hAnsi="Roboto" w:cs="Roboto"/>
          <w:sz w:val="22"/>
          <w:szCs w:val="22"/>
        </w:rPr>
      </w:pPr>
      <w:r>
        <w:rPr>
          <w:rFonts w:ascii="Roboto" w:eastAsia="Roboto" w:hAnsi="Roboto" w:cs="Roboto"/>
          <w:sz w:val="22"/>
          <w:szCs w:val="22"/>
        </w:rPr>
        <w:t>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14:paraId="445A356D" w14:textId="77777777" w:rsidR="00894DBC" w:rsidRDefault="004814E9">
      <w:pPr>
        <w:jc w:val="both"/>
        <w:rPr>
          <w:rFonts w:ascii="Roboto" w:eastAsia="Roboto" w:hAnsi="Roboto" w:cs="Roboto"/>
          <w:sz w:val="22"/>
          <w:szCs w:val="22"/>
        </w:rPr>
      </w:pPr>
      <w:r>
        <w:rPr>
          <w:rFonts w:ascii="Roboto" w:eastAsia="Roboto" w:hAnsi="Roboto" w:cs="Roboto"/>
          <w:sz w:val="22"/>
          <w:szCs w:val="22"/>
        </w:rPr>
        <w:t> </w:t>
      </w:r>
    </w:p>
    <w:p w14:paraId="445A356E" w14:textId="77777777" w:rsidR="00894DBC" w:rsidRDefault="004814E9">
      <w:pPr>
        <w:jc w:val="both"/>
        <w:rPr>
          <w:rFonts w:ascii="Roboto" w:eastAsia="Roboto" w:hAnsi="Roboto" w:cs="Roboto"/>
          <w:sz w:val="22"/>
          <w:szCs w:val="22"/>
        </w:rPr>
      </w:pPr>
      <w:r>
        <w:rPr>
          <w:rFonts w:ascii="Roboto" w:eastAsia="Roboto" w:hAnsi="Roboto" w:cs="Roboto"/>
          <w:sz w:val="22"/>
          <w:szCs w:val="22"/>
        </w:rPr>
        <w:t>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14:paraId="445A356F" w14:textId="77777777" w:rsidR="00894DBC" w:rsidRDefault="00894DBC">
      <w:pPr>
        <w:jc w:val="both"/>
        <w:rPr>
          <w:rFonts w:ascii="Roboto" w:eastAsia="Roboto" w:hAnsi="Roboto" w:cs="Roboto"/>
          <w:sz w:val="22"/>
          <w:szCs w:val="22"/>
        </w:rPr>
      </w:pPr>
    </w:p>
    <w:p w14:paraId="445A3570" w14:textId="77777777" w:rsidR="00894DBC" w:rsidRDefault="00894DBC">
      <w:pPr>
        <w:jc w:val="both"/>
        <w:rPr>
          <w:rFonts w:ascii="Roboto" w:eastAsia="Roboto" w:hAnsi="Roboto" w:cs="Roboto"/>
          <w:sz w:val="22"/>
          <w:szCs w:val="22"/>
        </w:rPr>
      </w:pPr>
    </w:p>
    <w:p w14:paraId="445A3571" w14:textId="77777777" w:rsidR="00894DBC" w:rsidRDefault="00D702CF">
      <w:pPr>
        <w:pBdr>
          <w:bottom w:val="single" w:sz="12" w:space="1" w:color="000000"/>
        </w:pBdr>
        <w:jc w:val="both"/>
        <w:rPr>
          <w:rFonts w:ascii="Roboto" w:eastAsia="Roboto" w:hAnsi="Roboto" w:cs="Roboto"/>
          <w:color w:val="E83544"/>
          <w:sz w:val="22"/>
          <w:szCs w:val="22"/>
        </w:rPr>
      </w:pPr>
      <w:hyperlink r:id="rId12">
        <w:r w:rsidR="004814E9">
          <w:rPr>
            <w:rFonts w:ascii="Roboto" w:eastAsia="Roboto" w:hAnsi="Roboto" w:cs="Roboto"/>
            <w:color w:val="E83544"/>
            <w:sz w:val="22"/>
            <w:szCs w:val="22"/>
            <w:u w:val="single"/>
          </w:rPr>
          <w:t>www.enac.es</w:t>
        </w:r>
      </w:hyperlink>
      <w:r w:rsidR="004814E9">
        <w:rPr>
          <w:rFonts w:ascii="Roboto" w:eastAsia="Roboto" w:hAnsi="Roboto" w:cs="Roboto"/>
          <w:color w:val="E83544"/>
          <w:sz w:val="22"/>
          <w:szCs w:val="22"/>
        </w:rPr>
        <w:t xml:space="preserve"> </w:t>
      </w:r>
    </w:p>
    <w:p w14:paraId="445A3572" w14:textId="77777777" w:rsidR="00894DBC" w:rsidRDefault="00894DBC">
      <w:pPr>
        <w:pBdr>
          <w:bottom w:val="single" w:sz="12" w:space="1" w:color="000000"/>
        </w:pBdr>
        <w:jc w:val="both"/>
        <w:rPr>
          <w:rFonts w:ascii="Roboto" w:eastAsia="Roboto" w:hAnsi="Roboto" w:cs="Roboto"/>
          <w:color w:val="E83544"/>
          <w:sz w:val="22"/>
          <w:szCs w:val="22"/>
        </w:rPr>
      </w:pPr>
    </w:p>
    <w:p w14:paraId="445A3573" w14:textId="77777777" w:rsidR="00894DBC" w:rsidRDefault="004814E9">
      <w:pPr>
        <w:pBdr>
          <w:bottom w:val="single" w:sz="12" w:space="1" w:color="000000"/>
        </w:pBdr>
        <w:jc w:val="both"/>
        <w:rPr>
          <w:rFonts w:ascii="Roboto" w:eastAsia="Roboto" w:hAnsi="Roboto" w:cs="Roboto"/>
          <w:sz w:val="22"/>
          <w:szCs w:val="22"/>
        </w:rPr>
      </w:pPr>
      <w:r>
        <w:rPr>
          <w:rFonts w:ascii="Roboto" w:eastAsia="Roboto" w:hAnsi="Roboto" w:cs="Roboto"/>
          <w:color w:val="0000FF"/>
          <w:sz w:val="22"/>
          <w:szCs w:val="22"/>
        </w:rPr>
        <w:t xml:space="preserve"> </w:t>
      </w:r>
      <w:r>
        <w:rPr>
          <w:rFonts w:ascii="Roboto" w:eastAsia="Roboto" w:hAnsi="Roboto" w:cs="Roboto"/>
          <w:noProof/>
          <w:color w:val="0000FF"/>
          <w:sz w:val="22"/>
          <w:szCs w:val="22"/>
        </w:rPr>
        <w:drawing>
          <wp:inline distT="0" distB="0" distL="0" distR="0" wp14:anchorId="445A357D" wp14:editId="445A357E">
            <wp:extent cx="304800" cy="304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04800" cy="304800"/>
                    </a:xfrm>
                    <a:prstGeom prst="rect">
                      <a:avLst/>
                    </a:prstGeom>
                    <a:ln/>
                  </pic:spPr>
                </pic:pic>
              </a:graphicData>
            </a:graphic>
          </wp:inline>
        </w:drawing>
      </w:r>
      <w:r>
        <w:rPr>
          <w:rFonts w:ascii="Roboto" w:eastAsia="Roboto" w:hAnsi="Roboto" w:cs="Roboto"/>
          <w:color w:val="0000FF"/>
          <w:sz w:val="22"/>
          <w:szCs w:val="22"/>
        </w:rPr>
        <w:t xml:space="preserve">  </w:t>
      </w:r>
      <w:r>
        <w:rPr>
          <w:rFonts w:ascii="Roboto" w:eastAsia="Roboto" w:hAnsi="Roboto" w:cs="Roboto"/>
          <w:noProof/>
          <w:color w:val="0000FF"/>
          <w:sz w:val="22"/>
          <w:szCs w:val="22"/>
        </w:rPr>
        <w:drawing>
          <wp:inline distT="0" distB="0" distL="0" distR="0" wp14:anchorId="445A357F" wp14:editId="445A3580">
            <wp:extent cx="304800" cy="304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04800" cy="304800"/>
                    </a:xfrm>
                    <a:prstGeom prst="rect">
                      <a:avLst/>
                    </a:prstGeom>
                    <a:ln/>
                  </pic:spPr>
                </pic:pic>
              </a:graphicData>
            </a:graphic>
          </wp:inline>
        </w:drawing>
      </w:r>
    </w:p>
    <w:p w14:paraId="445A3574" w14:textId="77777777" w:rsidR="00894DBC" w:rsidRDefault="00894DBC">
      <w:pPr>
        <w:pBdr>
          <w:bottom w:val="single" w:sz="12" w:space="1" w:color="000000"/>
        </w:pBdr>
        <w:jc w:val="both"/>
        <w:rPr>
          <w:rFonts w:ascii="Roboto" w:eastAsia="Roboto" w:hAnsi="Roboto" w:cs="Roboto"/>
          <w:color w:val="E83544"/>
          <w:sz w:val="22"/>
          <w:szCs w:val="22"/>
        </w:rPr>
      </w:pPr>
    </w:p>
    <w:p w14:paraId="445A3575" w14:textId="77777777" w:rsidR="00894DBC" w:rsidRDefault="00894DBC">
      <w:pPr>
        <w:jc w:val="both"/>
        <w:rPr>
          <w:rFonts w:ascii="Roboto" w:eastAsia="Roboto" w:hAnsi="Roboto" w:cs="Roboto"/>
          <w:color w:val="E83544"/>
          <w:sz w:val="22"/>
          <w:szCs w:val="22"/>
        </w:rPr>
      </w:pPr>
    </w:p>
    <w:p w14:paraId="445A3576" w14:textId="77777777" w:rsidR="00894DBC" w:rsidRDefault="004814E9">
      <w:pPr>
        <w:jc w:val="both"/>
        <w:rPr>
          <w:rFonts w:ascii="Roboto" w:eastAsia="Roboto" w:hAnsi="Roboto" w:cs="Roboto"/>
          <w:sz w:val="22"/>
          <w:szCs w:val="22"/>
        </w:rPr>
      </w:pPr>
      <w:r>
        <w:rPr>
          <w:rFonts w:ascii="Roboto" w:eastAsia="Roboto" w:hAnsi="Roboto" w:cs="Roboto"/>
          <w:sz w:val="22"/>
          <w:szCs w:val="22"/>
        </w:rPr>
        <w:t>Para más información sobre la nota de prensa, resolver dudas o gestionar entrevistas</w:t>
      </w:r>
    </w:p>
    <w:p w14:paraId="445A3577" w14:textId="77777777" w:rsidR="00894DBC" w:rsidRDefault="004814E9">
      <w:pPr>
        <w:jc w:val="both"/>
        <w:rPr>
          <w:rFonts w:ascii="Roboto" w:eastAsia="Roboto" w:hAnsi="Roboto" w:cs="Roboto"/>
          <w:sz w:val="22"/>
          <w:szCs w:val="22"/>
        </w:rPr>
      </w:pPr>
      <w:r>
        <w:rPr>
          <w:rFonts w:ascii="Roboto" w:eastAsia="Roboto" w:hAnsi="Roboto" w:cs="Roboto"/>
          <w:sz w:val="22"/>
          <w:szCs w:val="22"/>
        </w:rPr>
        <w:t>Eva Martín</w:t>
      </w:r>
    </w:p>
    <w:p w14:paraId="445A3578" w14:textId="77777777" w:rsidR="00894DBC" w:rsidRDefault="004814E9">
      <w:pPr>
        <w:jc w:val="both"/>
        <w:rPr>
          <w:rFonts w:ascii="Roboto" w:eastAsia="Roboto" w:hAnsi="Roboto" w:cs="Roboto"/>
          <w:sz w:val="22"/>
          <w:szCs w:val="22"/>
        </w:rPr>
      </w:pPr>
      <w:r>
        <w:rPr>
          <w:rFonts w:ascii="Roboto" w:eastAsia="Roboto" w:hAnsi="Roboto" w:cs="Roboto"/>
          <w:sz w:val="22"/>
          <w:szCs w:val="22"/>
        </w:rPr>
        <w:t xml:space="preserve">Tfno. 628 17 49 01 / </w:t>
      </w:r>
      <w:r>
        <w:rPr>
          <w:rFonts w:ascii="Roboto" w:eastAsia="Roboto" w:hAnsi="Roboto" w:cs="Roboto"/>
          <w:color w:val="E83544"/>
          <w:sz w:val="22"/>
          <w:szCs w:val="22"/>
        </w:rPr>
        <w:t xml:space="preserve"> </w:t>
      </w:r>
      <w:hyperlink r:id="rId15">
        <w:r>
          <w:rPr>
            <w:rFonts w:ascii="Roboto" w:eastAsia="Roboto" w:hAnsi="Roboto" w:cs="Roboto"/>
            <w:color w:val="E83544"/>
            <w:sz w:val="22"/>
            <w:szCs w:val="22"/>
            <w:u w:val="single"/>
          </w:rPr>
          <w:t>evamc@varenga.es</w:t>
        </w:r>
      </w:hyperlink>
    </w:p>
    <w:p w14:paraId="445A3579" w14:textId="77777777" w:rsidR="00894DBC" w:rsidRDefault="00894DBC">
      <w:pPr>
        <w:spacing w:after="200" w:line="276" w:lineRule="auto"/>
        <w:rPr>
          <w:rFonts w:ascii="Roboto" w:eastAsia="Roboto" w:hAnsi="Roboto" w:cs="Roboto"/>
          <w:sz w:val="22"/>
          <w:szCs w:val="22"/>
        </w:rPr>
      </w:pPr>
    </w:p>
    <w:p w14:paraId="445A357A" w14:textId="77777777" w:rsidR="00894DBC" w:rsidRDefault="00894DBC">
      <w:pPr>
        <w:rPr>
          <w:rFonts w:ascii="Calibri" w:eastAsia="Calibri" w:hAnsi="Calibri" w:cs="Calibri"/>
          <w:b/>
          <w:sz w:val="22"/>
          <w:szCs w:val="22"/>
          <w:u w:val="single"/>
        </w:rPr>
      </w:pPr>
    </w:p>
    <w:p w14:paraId="445A357B" w14:textId="77777777" w:rsidR="00894DBC" w:rsidRDefault="00894DBC">
      <w:pPr>
        <w:jc w:val="both"/>
        <w:rPr>
          <w:rFonts w:ascii="Calibri" w:eastAsia="Calibri" w:hAnsi="Calibri" w:cs="Calibri"/>
          <w:b/>
          <w:sz w:val="22"/>
          <w:szCs w:val="22"/>
          <w:u w:val="single"/>
        </w:rPr>
      </w:pPr>
    </w:p>
    <w:p w14:paraId="445A357C" w14:textId="77777777" w:rsidR="00894DBC" w:rsidRDefault="00894DBC">
      <w:pPr>
        <w:pBdr>
          <w:top w:val="nil"/>
          <w:left w:val="nil"/>
          <w:bottom w:val="nil"/>
          <w:right w:val="nil"/>
          <w:between w:val="nil"/>
        </w:pBdr>
        <w:rPr>
          <w:rFonts w:ascii="Calibri" w:eastAsia="Calibri" w:hAnsi="Calibri" w:cs="Calibri"/>
          <w:highlight w:val="white"/>
        </w:rPr>
      </w:pPr>
    </w:p>
    <w:sectPr w:rsidR="00894DBC">
      <w:headerReference w:type="default" r:id="rId16"/>
      <w:footerReference w:type="default" r:id="rId1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A358A" w14:textId="77777777" w:rsidR="00DB007A" w:rsidRDefault="004814E9">
      <w:r>
        <w:separator/>
      </w:r>
    </w:p>
  </w:endnote>
  <w:endnote w:type="continuationSeparator" w:id="0">
    <w:p w14:paraId="445A358C" w14:textId="77777777" w:rsidR="00DB007A" w:rsidRDefault="0048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3584" w14:textId="42B15B99" w:rsidR="00894DBC" w:rsidRDefault="004814E9">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64487E">
      <w:rPr>
        <w:noProof/>
        <w:color w:val="000000"/>
      </w:rPr>
      <w:t>1</w:t>
    </w:r>
    <w:r>
      <w:rPr>
        <w:color w:val="000000"/>
      </w:rPr>
      <w:fldChar w:fldCharType="end"/>
    </w:r>
  </w:p>
  <w:p w14:paraId="445A3585" w14:textId="77777777" w:rsidR="00894DBC" w:rsidRDefault="00894DB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A3586" w14:textId="77777777" w:rsidR="00DB007A" w:rsidRDefault="004814E9">
      <w:r>
        <w:separator/>
      </w:r>
    </w:p>
  </w:footnote>
  <w:footnote w:type="continuationSeparator" w:id="0">
    <w:p w14:paraId="445A3588" w14:textId="77777777" w:rsidR="00DB007A" w:rsidRDefault="0048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3581" w14:textId="77777777" w:rsidR="00894DBC" w:rsidRDefault="004814E9">
    <w:pPr>
      <w:ind w:left="-120"/>
      <w:jc w:val="both"/>
      <w:rPr>
        <w:rFonts w:ascii="Calibri" w:eastAsia="Calibri" w:hAnsi="Calibri" w:cs="Calibri"/>
        <w:b/>
        <w:sz w:val="40"/>
        <w:szCs w:val="40"/>
      </w:rPr>
    </w:pPr>
    <w:r>
      <w:rPr>
        <w:noProof/>
      </w:rPr>
      <w:drawing>
        <wp:anchor distT="114300" distB="114300" distL="114300" distR="114300" simplePos="0" relativeHeight="251658240" behindDoc="0" locked="0" layoutInCell="1" hidden="0" allowOverlap="1" wp14:anchorId="445A3586" wp14:editId="445A3587">
          <wp:simplePos x="0" y="0"/>
          <wp:positionH relativeFrom="column">
            <wp:posOffset>4114800</wp:posOffset>
          </wp:positionH>
          <wp:positionV relativeFrom="paragraph">
            <wp:posOffset>-304797</wp:posOffset>
          </wp:positionV>
          <wp:extent cx="1547842" cy="997267"/>
          <wp:effectExtent l="0" t="0" r="0" b="0"/>
          <wp:wrapSquare wrapText="bothSides" distT="114300" distB="11430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547842" cy="997267"/>
                  </a:xfrm>
                  <a:prstGeom prst="rect">
                    <a:avLst/>
                  </a:prstGeom>
                  <a:ln/>
                </pic:spPr>
              </pic:pic>
            </a:graphicData>
          </a:graphic>
        </wp:anchor>
      </w:drawing>
    </w:r>
  </w:p>
  <w:p w14:paraId="445A3582" w14:textId="77777777" w:rsidR="00894DBC" w:rsidRDefault="004814E9">
    <w:pPr>
      <w:ind w:left="-120"/>
      <w:jc w:val="both"/>
      <w:rPr>
        <w:rFonts w:ascii="Nunito" w:eastAsia="Nunito" w:hAnsi="Nunito" w:cs="Nunito"/>
        <w:sz w:val="22"/>
        <w:szCs w:val="22"/>
      </w:rPr>
    </w:pPr>
    <w:r>
      <w:rPr>
        <w:rFonts w:ascii="Nunito" w:eastAsia="Nunito" w:hAnsi="Nunito" w:cs="Nunito"/>
        <w:b/>
        <w:sz w:val="40"/>
        <w:szCs w:val="40"/>
      </w:rPr>
      <w:t>NOTA DE PRENSA</w:t>
    </w:r>
    <w:r>
      <w:rPr>
        <w:rFonts w:ascii="Nunito" w:eastAsia="Nunito" w:hAnsi="Nunito" w:cs="Nunito"/>
        <w:sz w:val="22"/>
        <w:szCs w:val="22"/>
      </w:rPr>
      <w:t xml:space="preserve"> </w:t>
    </w:r>
  </w:p>
  <w:p w14:paraId="445A3583" w14:textId="77777777" w:rsidR="00894DBC" w:rsidRDefault="00894DBC">
    <w:pPr>
      <w:pBdr>
        <w:top w:val="nil"/>
        <w:left w:val="nil"/>
        <w:bottom w:val="nil"/>
        <w:right w:val="nil"/>
        <w:between w:val="nil"/>
      </w:pBdr>
      <w:tabs>
        <w:tab w:val="center" w:pos="4252"/>
        <w:tab w:val="right" w:pos="8504"/>
      </w:tabs>
      <w:rPr>
        <w:color w:val="000000"/>
      </w:rPr>
    </w:pPr>
  </w:p>
</w:hdr>
</file>

<file path=word/intelligence2.xml><?xml version="1.0" encoding="utf-8"?>
<int2:intelligence xmlns:int2="http://schemas.microsoft.com/office/intelligence/2020/intelligence" xmlns:oel="http://schemas.microsoft.com/office/2019/extlst">
  <int2:observations>
    <int2:textHash int2:hashCode="I+SJwLFvwJZnXJ" int2:id="45JH8CgL">
      <int2:state int2:value="Rejected" int2:type="LegacyProofing"/>
    </int2:textHash>
    <int2:bookmark int2:bookmarkName="_Int_UvwkrhWr" int2:invalidationBookmarkName="" int2:hashCode="msnpvIOoDYBGJS" int2:id="Modj4aA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C1F28"/>
    <w:multiLevelType w:val="multilevel"/>
    <w:tmpl w:val="CCD6A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76387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DBC"/>
    <w:rsid w:val="001D52AC"/>
    <w:rsid w:val="003C2B9F"/>
    <w:rsid w:val="004814E9"/>
    <w:rsid w:val="0064487E"/>
    <w:rsid w:val="00894DBC"/>
    <w:rsid w:val="00D702CF"/>
    <w:rsid w:val="00DB007A"/>
    <w:rsid w:val="00F1479F"/>
    <w:rsid w:val="06C1C086"/>
    <w:rsid w:val="24021CDD"/>
    <w:rsid w:val="2B6DD2A1"/>
    <w:rsid w:val="5577EEE5"/>
    <w:rsid w:val="6C2A1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3558"/>
  <w15:docId w15:val="{1A050C02-7049-4090-8668-C0C89051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644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a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ac.es/documents/7020/563119/programa-jornada-presas/f38196fb-0496-46fb-bd3c-59fef4e22236" TargetMode="External"/><Relationship Id="rId5" Type="http://schemas.openxmlformats.org/officeDocument/2006/relationships/styles" Target="styles.xml"/><Relationship Id="rId15" Type="http://schemas.openxmlformats.org/officeDocument/2006/relationships/hyperlink" Target="mailto:evamc@varenga.es" TargetMode="External"/><Relationship Id="rId10" Type="http://schemas.openxmlformats.org/officeDocument/2006/relationships/hyperlink" Target="http://www.enac.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4" ma:contentTypeDescription="Crear nuevo documento." ma:contentTypeScope="" ma:versionID="8c82859fd4e960b8ffaef0e39e16015c">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049ab530a684e88a73025cf0b0ecb7f7"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6efcf77-0706-4f8e-b256-a6b4bd8b1840}" ma:internalName="TaxCatchAll" ma:showField="CatchAllData" ma:web="909e21e3-a2e2-47ca-be0e-9c3a9bef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290ce1-b2e7-4ccb-948d-a290ef611fa1">
      <Terms xmlns="http://schemas.microsoft.com/office/infopath/2007/PartnerControls"/>
    </lcf76f155ced4ddcb4097134ff3c332f>
    <TaxCatchAll xmlns="909e21e3-a2e2-47ca-be0e-9c3a9bef9292" xsi:nil="true"/>
  </documentManagement>
</p:properties>
</file>

<file path=customXml/itemProps1.xml><?xml version="1.0" encoding="utf-8"?>
<ds:datastoreItem xmlns:ds="http://schemas.openxmlformats.org/officeDocument/2006/customXml" ds:itemID="{E43F7CFD-1AA8-422D-96DA-125ACD69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9F66C-7A20-48A5-B64F-6F7882722CD4}">
  <ds:schemaRefs>
    <ds:schemaRef ds:uri="http://schemas.microsoft.com/sharepoint/v3/contenttype/forms"/>
  </ds:schemaRefs>
</ds:datastoreItem>
</file>

<file path=customXml/itemProps3.xml><?xml version="1.0" encoding="utf-8"?>
<ds:datastoreItem xmlns:ds="http://schemas.openxmlformats.org/officeDocument/2006/customXml" ds:itemID="{79398162-FC3D-4E89-B06E-1EF82A1CFF57}">
  <ds:schemaRefs>
    <ds:schemaRef ds:uri="909e21e3-a2e2-47ca-be0e-9c3a9bef9292"/>
    <ds:schemaRef ds:uri="http://schemas.openxmlformats.org/package/2006/metadata/core-properties"/>
    <ds:schemaRef ds:uri="http://purl.org/dc/elements/1.1/"/>
    <ds:schemaRef ds:uri="http://schemas.microsoft.com/office/2006/metadata/properties"/>
    <ds:schemaRef ds:uri="6e290ce1-b2e7-4ccb-948d-a290ef611fa1"/>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4418</Characters>
  <Application>Microsoft Office Word</Application>
  <DocSecurity>0</DocSecurity>
  <Lines>36</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Diaz Pozo</cp:lastModifiedBy>
  <cp:revision>8</cp:revision>
  <dcterms:created xsi:type="dcterms:W3CDTF">2023-01-13T10:30:00Z</dcterms:created>
  <dcterms:modified xsi:type="dcterms:W3CDTF">2023-01-19T10:19:00Z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