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FD42" w14:textId="77777777" w:rsidR="00045193" w:rsidRDefault="00045193">
      <w:pPr>
        <w:jc w:val="center"/>
        <w:rPr>
          <w:rFonts w:ascii="Roboto" w:eastAsia="Roboto" w:hAnsi="Roboto" w:cs="Roboto"/>
        </w:rPr>
      </w:pPr>
    </w:p>
    <w:p w14:paraId="6C24FD43" w14:textId="77777777" w:rsidR="00045193" w:rsidRDefault="0023750E">
      <w:pPr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14:paraId="6C24FD44" w14:textId="77777777" w:rsidR="00045193" w:rsidRDefault="0023750E">
      <w:pPr>
        <w:jc w:val="center"/>
        <w:rPr>
          <w:rFonts w:ascii="Roboto" w:eastAsia="Roboto" w:hAnsi="Roboto" w:cs="Roboto"/>
          <w:b/>
          <w:sz w:val="38"/>
          <w:szCs w:val="38"/>
        </w:rPr>
      </w:pPr>
      <w:r>
        <w:rPr>
          <w:rFonts w:ascii="Roboto" w:eastAsia="Roboto" w:hAnsi="Roboto" w:cs="Roboto"/>
          <w:b/>
          <w:sz w:val="38"/>
          <w:szCs w:val="38"/>
        </w:rPr>
        <w:t>ISO publica una revisión de la norma ISO 15189 de acreditación de laboratorios clínicos</w:t>
      </w:r>
    </w:p>
    <w:p w14:paraId="6C24FD45" w14:textId="77777777" w:rsidR="00045193" w:rsidRDefault="0023750E">
      <w:pPr>
        <w:shd w:val="clear" w:color="auto" w:fill="FFFFFF"/>
        <w:jc w:val="center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 xml:space="preserve"> </w:t>
      </w:r>
    </w:p>
    <w:p w14:paraId="6C24FD46" w14:textId="77777777" w:rsidR="00045193" w:rsidRDefault="0023750E">
      <w:pPr>
        <w:numPr>
          <w:ilvl w:val="0"/>
          <w:numId w:val="1"/>
        </w:numPr>
        <w:shd w:val="clear" w:color="auto" w:fill="FFFFFF"/>
        <w:ind w:left="1080"/>
        <w:jc w:val="both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La renovada norma pone el foco en el beneficio del paciente y fomenta la mejora continua de los laboratorios clínicos</w:t>
      </w:r>
    </w:p>
    <w:p w14:paraId="6C24FD47" w14:textId="77777777" w:rsidR="00045193" w:rsidRDefault="00045193">
      <w:pPr>
        <w:shd w:val="clear" w:color="auto" w:fill="FFFFFF"/>
        <w:ind w:left="720"/>
        <w:jc w:val="both"/>
        <w:rPr>
          <w:rFonts w:ascii="Roboto" w:eastAsia="Roboto" w:hAnsi="Roboto" w:cs="Roboto"/>
          <w:b/>
          <w:color w:val="FF0000"/>
          <w:sz w:val="20"/>
          <w:szCs w:val="20"/>
        </w:rPr>
      </w:pPr>
    </w:p>
    <w:p w14:paraId="6C24FD48" w14:textId="2C4DD118" w:rsidR="00045193" w:rsidRDefault="0023750E" w:rsidP="72FE6DDE">
      <w:pPr>
        <w:numPr>
          <w:ilvl w:val="0"/>
          <w:numId w:val="1"/>
        </w:numPr>
        <w:shd w:val="clear" w:color="auto" w:fill="FFFFFF" w:themeFill="background1"/>
        <w:ind w:left="1080"/>
        <w:jc w:val="both"/>
        <w:rPr>
          <w:rFonts w:ascii="Roboto" w:eastAsia="Roboto" w:hAnsi="Roboto" w:cs="Roboto"/>
          <w:b/>
          <w:bCs/>
          <w:sz w:val="20"/>
          <w:szCs w:val="20"/>
        </w:rPr>
      </w:pPr>
      <w:r w:rsidRPr="72FE6DDE">
        <w:rPr>
          <w:rFonts w:ascii="Roboto" w:eastAsia="Roboto" w:hAnsi="Roboto" w:cs="Roboto"/>
          <w:b/>
          <w:bCs/>
          <w:sz w:val="20"/>
          <w:szCs w:val="20"/>
        </w:rPr>
        <w:t xml:space="preserve">ENAC informa </w:t>
      </w:r>
      <w:r w:rsidR="00844C51" w:rsidRPr="72FE6DDE">
        <w:rPr>
          <w:rFonts w:ascii="Roboto" w:eastAsia="Roboto" w:hAnsi="Roboto" w:cs="Roboto"/>
          <w:b/>
          <w:bCs/>
          <w:sz w:val="20"/>
          <w:szCs w:val="20"/>
        </w:rPr>
        <w:t xml:space="preserve">de </w:t>
      </w:r>
      <w:r w:rsidRPr="72FE6DDE">
        <w:rPr>
          <w:rFonts w:ascii="Roboto" w:eastAsia="Roboto" w:hAnsi="Roboto" w:cs="Roboto"/>
          <w:b/>
          <w:bCs/>
          <w:sz w:val="20"/>
          <w:szCs w:val="20"/>
        </w:rPr>
        <w:t>que los laboratorios acreditados disponen de un periodo de transición de tres años para adaptarse a la nueva revisión de la norma</w:t>
      </w:r>
    </w:p>
    <w:p w14:paraId="6C24FD49" w14:textId="77777777" w:rsidR="00045193" w:rsidRDefault="0023750E">
      <w:pPr>
        <w:shd w:val="clear" w:color="auto" w:fill="FFFFFF"/>
        <w:ind w:left="72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 </w:t>
      </w:r>
    </w:p>
    <w:p w14:paraId="5A9D97A6" w14:textId="77777777" w:rsidR="00926B84" w:rsidRDefault="00926B84">
      <w:pP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</w:p>
    <w:p w14:paraId="6C24FD4A" w14:textId="0ED348D4" w:rsidR="00045193" w:rsidRDefault="0023750E">
      <w:pP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Madrid, diciembre de 2022.- La </w:t>
      </w:r>
      <w:r>
        <w:rPr>
          <w:rFonts w:ascii="Roboto" w:eastAsia="Roboto" w:hAnsi="Roboto" w:cs="Roboto"/>
          <w:b/>
          <w:sz w:val="22"/>
          <w:szCs w:val="22"/>
        </w:rPr>
        <w:t xml:space="preserve">Organización Internacional de Normalización </w:t>
      </w:r>
      <w:r>
        <w:rPr>
          <w:rFonts w:ascii="Roboto" w:eastAsia="Roboto" w:hAnsi="Roboto" w:cs="Roboto"/>
          <w:sz w:val="22"/>
          <w:szCs w:val="22"/>
        </w:rPr>
        <w:t xml:space="preserve">(International </w:t>
      </w:r>
      <w:proofErr w:type="spellStart"/>
      <w:r>
        <w:rPr>
          <w:rFonts w:ascii="Roboto" w:eastAsia="Roboto" w:hAnsi="Roboto" w:cs="Roboto"/>
          <w:sz w:val="22"/>
          <w:szCs w:val="22"/>
        </w:rPr>
        <w:t>Organization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</w:t>
      </w:r>
      <w:proofErr w:type="spellStart"/>
      <w:r>
        <w:rPr>
          <w:rFonts w:ascii="Roboto" w:eastAsia="Roboto" w:hAnsi="Roboto" w:cs="Roboto"/>
          <w:sz w:val="22"/>
          <w:szCs w:val="22"/>
        </w:rPr>
        <w:t>for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</w:t>
      </w:r>
      <w:proofErr w:type="spellStart"/>
      <w:r>
        <w:rPr>
          <w:rFonts w:ascii="Roboto" w:eastAsia="Roboto" w:hAnsi="Roboto" w:cs="Roboto"/>
          <w:sz w:val="22"/>
          <w:szCs w:val="22"/>
        </w:rPr>
        <w:t>Standardization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, ISO) ha publicado recientemente la norma ISO 15189:2022, sobre requisitos particulares de calidad y competencia de laboratorios clínicos, y que </w:t>
      </w:r>
      <w:r>
        <w:rPr>
          <w:rFonts w:ascii="Roboto" w:eastAsia="Roboto" w:hAnsi="Roboto" w:cs="Roboto"/>
          <w:b/>
          <w:sz w:val="22"/>
          <w:szCs w:val="22"/>
        </w:rPr>
        <w:t xml:space="preserve">sustituye al texto vigente desde 2012, con el objetivo de adaptar su estructura a la del resto de normas de evaluación de la conformidad </w:t>
      </w:r>
      <w:r>
        <w:rPr>
          <w:rFonts w:ascii="Roboto" w:eastAsia="Roboto" w:hAnsi="Roboto" w:cs="Roboto"/>
          <w:sz w:val="22"/>
          <w:szCs w:val="22"/>
        </w:rPr>
        <w:t>de la serie ISO 17000, en especial, a la ISO 17025:2017.</w:t>
      </w:r>
    </w:p>
    <w:p w14:paraId="6C24FD4B" w14:textId="77777777" w:rsidR="00045193" w:rsidRDefault="00045193">
      <w:pP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</w:p>
    <w:p w14:paraId="6C24FD4C" w14:textId="77777777" w:rsidR="00045193" w:rsidRDefault="0023750E">
      <w:pPr>
        <w:shd w:val="clear" w:color="auto" w:fill="FFFFFF"/>
        <w:spacing w:after="1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Si bien la mayoría de los requisitos establecidos en la anterior versión de la norma se mantienen en el nuevo texto, la renovada norma </w:t>
      </w:r>
      <w:r>
        <w:rPr>
          <w:rFonts w:ascii="Roboto" w:eastAsia="Roboto" w:hAnsi="Roboto" w:cs="Roboto"/>
          <w:b/>
          <w:sz w:val="22"/>
          <w:szCs w:val="22"/>
        </w:rPr>
        <w:t>pone el foco en el beneficio del paciente y fomenta la mejora continua de los laboratorios clínicos</w:t>
      </w:r>
      <w:r>
        <w:rPr>
          <w:rFonts w:ascii="Roboto" w:eastAsia="Roboto" w:hAnsi="Roboto" w:cs="Roboto"/>
          <w:sz w:val="22"/>
          <w:szCs w:val="22"/>
        </w:rPr>
        <w:t xml:space="preserve">. En ella, se presentan requisitos dirigidos a </w:t>
      </w:r>
      <w:r>
        <w:rPr>
          <w:rFonts w:ascii="Roboto" w:eastAsia="Roboto" w:hAnsi="Roboto" w:cs="Roboto"/>
          <w:b/>
          <w:sz w:val="22"/>
          <w:szCs w:val="22"/>
        </w:rPr>
        <w:t>evitar potenciales riesgos para los pacientes</w:t>
      </w:r>
      <w:r>
        <w:rPr>
          <w:rFonts w:ascii="Roboto" w:eastAsia="Roboto" w:hAnsi="Roboto" w:cs="Roboto"/>
          <w:sz w:val="22"/>
          <w:szCs w:val="22"/>
        </w:rPr>
        <w:t>, algo esencial en cualquier sistema de gestión de la calidad de un laboratorio clínico.</w:t>
      </w:r>
    </w:p>
    <w:p w14:paraId="6C24FD4D" w14:textId="77777777" w:rsidR="00045193" w:rsidRDefault="0023750E">
      <w:pPr>
        <w:shd w:val="clear" w:color="auto" w:fill="FFFFFF"/>
        <w:spacing w:after="1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La formulación de los requisitos de esta nueva versión de la norma ISO 15189 es mucho menos prescriptiva que la anterior, lo que deriva en una mayor flexibilidad a la hora de poder demostrar el cumplimiento con los requisitos establecidos en la misma, aplicando una forma de pensar más orientada al desempeño.</w:t>
      </w:r>
    </w:p>
    <w:p w14:paraId="6C24FD4E" w14:textId="77777777" w:rsidR="00045193" w:rsidRDefault="0023750E">
      <w:pPr>
        <w:shd w:val="clear" w:color="auto" w:fill="FFFFFF"/>
        <w:spacing w:after="1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Por otra parte, una de las principales novedades que introduce el texto es que establece también los requisitos que hasta la fecha se recogían en la norma ISO 22870, relativos a la actividad de </w:t>
      </w:r>
      <w:proofErr w:type="spellStart"/>
      <w:r>
        <w:rPr>
          <w:rFonts w:ascii="Roboto" w:eastAsia="Roboto" w:hAnsi="Roboto" w:cs="Roboto"/>
          <w:sz w:val="22"/>
          <w:szCs w:val="22"/>
        </w:rPr>
        <w:t>point</w:t>
      </w:r>
      <w:proofErr w:type="spellEnd"/>
      <w:r>
        <w:rPr>
          <w:rFonts w:ascii="Roboto" w:eastAsia="Roboto" w:hAnsi="Roboto" w:cs="Roboto"/>
          <w:sz w:val="22"/>
          <w:szCs w:val="22"/>
        </w:rPr>
        <w:t>-</w:t>
      </w:r>
      <w:proofErr w:type="spellStart"/>
      <w:r>
        <w:rPr>
          <w:rFonts w:ascii="Roboto" w:eastAsia="Roboto" w:hAnsi="Roboto" w:cs="Roboto"/>
          <w:sz w:val="22"/>
          <w:szCs w:val="22"/>
        </w:rPr>
        <w:t>of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-care </w:t>
      </w:r>
      <w:proofErr w:type="spellStart"/>
      <w:r>
        <w:rPr>
          <w:rFonts w:ascii="Roboto" w:eastAsia="Roboto" w:hAnsi="Roboto" w:cs="Roboto"/>
          <w:sz w:val="22"/>
          <w:szCs w:val="22"/>
        </w:rPr>
        <w:t>testing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(POCT), esto es, a los </w:t>
      </w:r>
      <w:r>
        <w:rPr>
          <w:rFonts w:ascii="Roboto" w:eastAsia="Roboto" w:hAnsi="Roboto" w:cs="Roboto"/>
          <w:b/>
          <w:sz w:val="22"/>
          <w:szCs w:val="22"/>
        </w:rPr>
        <w:t>análisis que no se llevan a cabo en el propio laboratorio</w:t>
      </w:r>
      <w:r>
        <w:rPr>
          <w:rFonts w:ascii="Roboto" w:eastAsia="Roboto" w:hAnsi="Roboto" w:cs="Roboto"/>
          <w:sz w:val="22"/>
          <w:szCs w:val="22"/>
        </w:rPr>
        <w:t>, sino que se realizan en el lugar dónde está el paciente.</w:t>
      </w:r>
    </w:p>
    <w:p w14:paraId="24592FF8" w14:textId="77777777" w:rsidR="00926B84" w:rsidRDefault="00926B84">
      <w:pPr>
        <w:shd w:val="clear" w:color="auto" w:fill="FFFFFF"/>
        <w:spacing w:after="160"/>
        <w:jc w:val="both"/>
        <w:rPr>
          <w:rFonts w:ascii="Roboto" w:eastAsia="Roboto" w:hAnsi="Roboto" w:cs="Roboto"/>
          <w:b/>
          <w:sz w:val="22"/>
          <w:szCs w:val="22"/>
        </w:rPr>
      </w:pPr>
    </w:p>
    <w:p w14:paraId="6C24FD4F" w14:textId="28D59245" w:rsidR="00045193" w:rsidRDefault="0023750E">
      <w:pPr>
        <w:shd w:val="clear" w:color="auto" w:fill="FFFFFF"/>
        <w:spacing w:after="160"/>
        <w:jc w:val="both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Periodo transitorio de tres años</w:t>
      </w:r>
    </w:p>
    <w:p w14:paraId="6C24FD51" w14:textId="1E5DC685" w:rsidR="00045193" w:rsidRDefault="0023750E" w:rsidP="72FE6DDE">
      <w:pPr>
        <w:shd w:val="clear" w:color="auto" w:fill="FFFFFF" w:themeFill="background1"/>
        <w:spacing w:after="160"/>
        <w:jc w:val="both"/>
        <w:rPr>
          <w:rFonts w:ascii="Roboto" w:eastAsia="Roboto" w:hAnsi="Roboto" w:cs="Roboto"/>
          <w:b/>
          <w:bCs/>
          <w:sz w:val="22"/>
          <w:szCs w:val="22"/>
        </w:rPr>
      </w:pPr>
      <w:r w:rsidRPr="72FE6DDE">
        <w:rPr>
          <w:rFonts w:ascii="Roboto" w:eastAsia="Roboto" w:hAnsi="Roboto" w:cs="Roboto"/>
          <w:b/>
          <w:bCs/>
          <w:sz w:val="22"/>
          <w:szCs w:val="22"/>
        </w:rPr>
        <w:t>La</w:t>
      </w:r>
      <w:hyperlink r:id="rId10" w:history="1">
        <w:r w:rsidRPr="72FE6DDE">
          <w:rPr>
            <w:rFonts w:ascii="Roboto" w:eastAsia="Roboto" w:hAnsi="Roboto" w:cs="Roboto"/>
            <w:b/>
            <w:bCs/>
            <w:sz w:val="22"/>
            <w:szCs w:val="22"/>
          </w:rPr>
          <w:t xml:space="preserve"> Entidad Nacional de Acreditación</w:t>
        </w:r>
      </w:hyperlink>
      <w:r w:rsidRPr="72FE6DDE">
        <w:rPr>
          <w:rFonts w:ascii="Roboto" w:eastAsia="Roboto" w:hAnsi="Roboto" w:cs="Roboto"/>
          <w:b/>
          <w:bCs/>
          <w:sz w:val="22"/>
          <w:szCs w:val="22"/>
        </w:rPr>
        <w:t xml:space="preserve"> (ENAC) informa de que los laboratorios acreditados disponen de un </w:t>
      </w:r>
      <w:hyperlink r:id="rId11" w:history="1">
        <w:r w:rsidRPr="72FE6DDE">
          <w:rPr>
            <w:rFonts w:ascii="Roboto" w:eastAsia="Roboto" w:hAnsi="Roboto" w:cs="Roboto"/>
            <w:b/>
            <w:bCs/>
            <w:sz w:val="22"/>
            <w:szCs w:val="22"/>
          </w:rPr>
          <w:t>periodo de transición de tres años</w:t>
        </w:r>
      </w:hyperlink>
      <w:r w:rsidRPr="72FE6DDE">
        <w:rPr>
          <w:rFonts w:ascii="Roboto" w:eastAsia="Roboto" w:hAnsi="Roboto" w:cs="Roboto"/>
          <w:b/>
          <w:bCs/>
          <w:sz w:val="22"/>
          <w:szCs w:val="22"/>
        </w:rPr>
        <w:t xml:space="preserve"> para adaptarse a la nueva revisión de la norma, fijado por la organización internacional de acreditadores ILAC. </w:t>
      </w:r>
      <w:r w:rsidRPr="72FE6DDE">
        <w:rPr>
          <w:rFonts w:ascii="Roboto" w:eastAsia="Roboto" w:hAnsi="Roboto" w:cs="Roboto"/>
          <w:sz w:val="22"/>
          <w:szCs w:val="22"/>
        </w:rPr>
        <w:t xml:space="preserve">Al terminar este periodo, todos los laboratorios acreditados según la ISO 15189:2012, así como aquellos que desarrollen análisis junto al paciente de manera acreditada según la ISO 22870:2016, deberán haber sido evaluadas y acreditadas en base a la nueva versión de la ISO 15189. De este modo, </w:t>
      </w:r>
      <w:r w:rsidRPr="72FE6DDE">
        <w:rPr>
          <w:rFonts w:ascii="Roboto" w:eastAsia="Roboto" w:hAnsi="Roboto" w:cs="Roboto"/>
          <w:b/>
          <w:bCs/>
          <w:sz w:val="22"/>
          <w:szCs w:val="22"/>
        </w:rPr>
        <w:t>la norma ISO 22870 sobre POCT desaparecerá una vez finalice el mencionado periodo de transición.</w:t>
      </w:r>
    </w:p>
    <w:p w14:paraId="6C24FD52" w14:textId="77777777" w:rsidR="00045193" w:rsidRDefault="00045193">
      <w:pP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</w:p>
    <w:p w14:paraId="6C24FD53" w14:textId="77777777" w:rsidR="00045193" w:rsidRDefault="0023750E">
      <w:pPr>
        <w:shd w:val="clear" w:color="auto" w:fill="FFFFFF"/>
        <w:jc w:val="both"/>
        <w:rPr>
          <w:rFonts w:ascii="Roboto" w:eastAsia="Roboto" w:hAnsi="Roboto" w:cs="Roboto"/>
          <w:color w:val="333333"/>
          <w:sz w:val="22"/>
          <w:szCs w:val="22"/>
        </w:rPr>
      </w:pPr>
      <w:r>
        <w:rPr>
          <w:rFonts w:ascii="Roboto" w:eastAsia="Roboto" w:hAnsi="Roboto" w:cs="Roboto"/>
          <w:color w:val="333333"/>
          <w:sz w:val="22"/>
          <w:szCs w:val="22"/>
        </w:rPr>
        <w:t xml:space="preserve"> </w:t>
      </w:r>
    </w:p>
    <w:p w14:paraId="6C24FD54" w14:textId="77777777" w:rsidR="00045193" w:rsidRDefault="0023750E">
      <w:pPr>
        <w:shd w:val="clear" w:color="auto" w:fill="FFFFFF"/>
        <w:jc w:val="both"/>
        <w:rPr>
          <w:rFonts w:ascii="Roboto" w:eastAsia="Roboto" w:hAnsi="Roboto" w:cs="Roboto"/>
          <w:color w:val="333333"/>
          <w:sz w:val="22"/>
          <w:szCs w:val="22"/>
        </w:rPr>
      </w:pPr>
      <w:r>
        <w:rPr>
          <w:rFonts w:ascii="Roboto" w:eastAsia="Roboto" w:hAnsi="Roboto" w:cs="Roboto"/>
          <w:color w:val="333333"/>
          <w:sz w:val="22"/>
          <w:szCs w:val="22"/>
        </w:rPr>
        <w:t xml:space="preserve"> </w:t>
      </w:r>
    </w:p>
    <w:p w14:paraId="6C24FD55" w14:textId="77777777" w:rsidR="00045193" w:rsidRDefault="0023750E">
      <w:pPr>
        <w:shd w:val="clear" w:color="auto" w:fill="FFFFFF"/>
        <w:jc w:val="both"/>
        <w:rPr>
          <w:rFonts w:ascii="Roboto" w:eastAsia="Roboto" w:hAnsi="Roboto" w:cs="Roboto"/>
          <w:color w:val="E83544"/>
          <w:sz w:val="22"/>
          <w:szCs w:val="22"/>
        </w:rPr>
      </w:pPr>
      <w:r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</w:p>
    <w:p w14:paraId="6C24FD56" w14:textId="77777777" w:rsidR="00045193" w:rsidRDefault="0023750E">
      <w:pPr>
        <w:shd w:val="clear" w:color="auto" w:fill="FFFFFF"/>
        <w:jc w:val="both"/>
        <w:rPr>
          <w:rFonts w:ascii="Roboto" w:eastAsia="Roboto" w:hAnsi="Roboto" w:cs="Roboto"/>
          <w:color w:val="E83544"/>
          <w:sz w:val="22"/>
          <w:szCs w:val="22"/>
        </w:rPr>
      </w:pPr>
      <w:r>
        <w:rPr>
          <w:rFonts w:ascii="Roboto" w:eastAsia="Roboto" w:hAnsi="Roboto" w:cs="Roboto"/>
          <w:color w:val="E83544"/>
          <w:sz w:val="22"/>
          <w:szCs w:val="22"/>
        </w:rPr>
        <w:lastRenderedPageBreak/>
        <w:t xml:space="preserve"> </w:t>
      </w:r>
    </w:p>
    <w:p w14:paraId="6C24FD57" w14:textId="77777777" w:rsidR="00045193" w:rsidRDefault="0023750E">
      <w:pPr>
        <w:shd w:val="clear" w:color="auto" w:fill="FFFFFF"/>
        <w:jc w:val="both"/>
        <w:rPr>
          <w:rFonts w:ascii="Roboto" w:eastAsia="Roboto" w:hAnsi="Roboto" w:cs="Roboto"/>
          <w:color w:val="E83544"/>
          <w:sz w:val="22"/>
          <w:szCs w:val="22"/>
        </w:rPr>
      </w:pPr>
      <w:r>
        <w:rPr>
          <w:rFonts w:ascii="Roboto" w:eastAsia="Roboto" w:hAnsi="Roboto" w:cs="Roboto"/>
          <w:b/>
          <w:color w:val="E83544"/>
          <w:sz w:val="22"/>
          <w:szCs w:val="22"/>
        </w:rPr>
        <w:t xml:space="preserve">Sobre ENAC y el sector sanitario </w:t>
      </w:r>
      <w:r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</w:p>
    <w:p w14:paraId="6C24FD58" w14:textId="77777777" w:rsidR="00045193" w:rsidRDefault="0023750E">
      <w:pPr>
        <w:shd w:val="clear" w:color="auto" w:fill="FFFFFF"/>
        <w:jc w:val="both"/>
        <w:rPr>
          <w:rFonts w:ascii="Roboto" w:eastAsia="Roboto" w:hAnsi="Roboto" w:cs="Roboto"/>
          <w:color w:val="E83544"/>
          <w:sz w:val="22"/>
          <w:szCs w:val="22"/>
        </w:rPr>
      </w:pPr>
      <w:r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</w:p>
    <w:p w14:paraId="6C24FD59" w14:textId="77777777" w:rsidR="00045193" w:rsidRDefault="0023750E">
      <w:pP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La calidad y la seguridad son dos elementos fundamentales para garantizar un sistema sanitario acorde con las necesidades actuales. La acreditación de ENAC proporciona</w:t>
      </w:r>
      <w:r>
        <w:rPr>
          <w:rFonts w:ascii="Roboto" w:eastAsia="Roboto" w:hAnsi="Roboto" w:cs="Roboto"/>
          <w:b/>
          <w:sz w:val="22"/>
          <w:szCs w:val="22"/>
        </w:rPr>
        <w:t xml:space="preserve"> </w:t>
      </w:r>
      <w:r>
        <w:rPr>
          <w:rFonts w:ascii="Roboto" w:eastAsia="Roboto" w:hAnsi="Roboto" w:cs="Roboto"/>
          <w:sz w:val="22"/>
          <w:szCs w:val="22"/>
        </w:rPr>
        <w:t xml:space="preserve">confianza en los diferentes ámbitos y etapas de la prestación de los servicios siendo un sector en el que cada vez se hace más uso de la acreditación como instrumento de seguridad y control.  </w:t>
      </w:r>
    </w:p>
    <w:p w14:paraId="6C24FD5A" w14:textId="77777777" w:rsidR="00045193" w:rsidRDefault="0023750E">
      <w:pP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 </w:t>
      </w:r>
    </w:p>
    <w:p w14:paraId="6C24FD5B" w14:textId="77777777" w:rsidR="00045193" w:rsidRDefault="0023750E">
      <w:pP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ENAC ha acreditado a laboratorios de muy diversas especialidades (inmunología, bioquímica, genética, microbiología, hematología, anatomía patológica) y de diferentes niveles de especialización, desde centros nacionales de referencia a laboratorios hospitalarios de rutina y de urgencias, tanto públicos como privados.  </w:t>
      </w:r>
    </w:p>
    <w:p w14:paraId="6C24FD5C" w14:textId="77777777" w:rsidR="00045193" w:rsidRDefault="0023750E">
      <w:pPr>
        <w:shd w:val="clear" w:color="auto" w:fill="FFFFFF"/>
        <w:spacing w:line="317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C24FD5D" w14:textId="77777777" w:rsidR="00045193" w:rsidRDefault="0023750E">
      <w:pP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La acreditación es la herramienta que proporciona confianza a los pacientes, prescriptores y gestores de servicios sanitarios y </w:t>
      </w:r>
      <w:proofErr w:type="gramStart"/>
      <w:r>
        <w:rPr>
          <w:rFonts w:ascii="Roboto" w:eastAsia="Roboto" w:hAnsi="Roboto" w:cs="Roboto"/>
          <w:sz w:val="22"/>
          <w:szCs w:val="22"/>
        </w:rPr>
        <w:t>socio-sanitarios</w:t>
      </w:r>
      <w:proofErr w:type="gramEnd"/>
      <w:r>
        <w:rPr>
          <w:rFonts w:ascii="Roboto" w:eastAsia="Roboto" w:hAnsi="Roboto" w:cs="Roboto"/>
          <w:sz w:val="22"/>
          <w:szCs w:val="22"/>
        </w:rPr>
        <w:t xml:space="preserve"> de que los laboratorios clínicos han demostrado su competencia al superar un proceso de evaluación independiente y conforme a normas reconocidas internacionalmente. La norma UNE-EN ISO 15189 es el estándar especialmente enfocado al paciente como eje central de la actividad del laboratorio clínico. </w:t>
      </w:r>
    </w:p>
    <w:p w14:paraId="6C24FD5E" w14:textId="77777777" w:rsidR="00045193" w:rsidRDefault="0023750E">
      <w:pPr>
        <w:shd w:val="clear" w:color="auto" w:fill="FFFFFF"/>
        <w:jc w:val="both"/>
      </w:pPr>
      <w:r>
        <w:t xml:space="preserve"> </w:t>
      </w:r>
    </w:p>
    <w:p w14:paraId="6C24FD5F" w14:textId="0118B25B" w:rsidR="00045193" w:rsidRDefault="0023750E">
      <w:pP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La Entidad Nacional de Acreditación – ENAC – es la entidad designada por el Gobierno para operar en España como el único Organismo Nacional de Acreditación, en aplicación del Reglamento (CE) nº765/2008 del Parlamento Europeo que regula el funcionamiento de la acreditación en Europa. </w:t>
      </w:r>
    </w:p>
    <w:p w14:paraId="6C24FD60" w14:textId="77777777" w:rsidR="00045193" w:rsidRDefault="0023750E">
      <w:pPr>
        <w:shd w:val="clear" w:color="auto" w:fill="FFFFFF"/>
        <w:spacing w:line="291" w:lineRule="auto"/>
        <w:jc w:val="both"/>
        <w:rPr>
          <w:rFonts w:ascii="Roboto" w:eastAsia="Roboto" w:hAnsi="Roboto" w:cs="Roboto"/>
          <w:sz w:val="22"/>
          <w:szCs w:val="22"/>
        </w:rPr>
      </w:pPr>
      <w:r>
        <w:t xml:space="preserve"> </w:t>
      </w:r>
    </w:p>
    <w:p w14:paraId="6C24FD61" w14:textId="77777777" w:rsidR="00045193" w:rsidRDefault="00926B84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  <w:hyperlink r:id="rId12">
        <w:r w:rsidR="0023750E"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www.enac.es</w:t>
        </w:r>
      </w:hyperlink>
      <w:r w:rsidR="0023750E"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</w:p>
    <w:p w14:paraId="6C24FD62" w14:textId="77777777" w:rsidR="00045193" w:rsidRDefault="00045193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6C24FD63" w14:textId="77777777" w:rsidR="00045193" w:rsidRDefault="0023750E">
      <w:pPr>
        <w:pBdr>
          <w:bottom w:val="single" w:sz="12" w:space="1" w:color="000000"/>
        </w:pBd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color w:val="0000FF"/>
          <w:sz w:val="22"/>
          <w:szCs w:val="22"/>
        </w:rPr>
        <w:t xml:space="preserve">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6C24FD69" wp14:editId="6C24FD6A">
            <wp:extent cx="304800" cy="3048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0000FF"/>
          <w:sz w:val="22"/>
          <w:szCs w:val="22"/>
        </w:rPr>
        <w:t xml:space="preserve"> 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6C24FD6B" wp14:editId="6C24FD6C">
            <wp:extent cx="304800" cy="3048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24FD64" w14:textId="77777777" w:rsidR="00045193" w:rsidRDefault="00045193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6C24FD65" w14:textId="77777777" w:rsidR="00045193" w:rsidRDefault="00045193">
      <w:pP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6C24FD66" w14:textId="77777777" w:rsidR="00045193" w:rsidRDefault="0023750E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Para más información sobre la nota de prensa, resolver dudas o gestionar entrevistas</w:t>
      </w:r>
    </w:p>
    <w:p w14:paraId="6C24FD67" w14:textId="77777777" w:rsidR="00045193" w:rsidRDefault="0023750E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Eva Martín</w:t>
      </w:r>
    </w:p>
    <w:p w14:paraId="6C24FD68" w14:textId="77777777" w:rsidR="00045193" w:rsidRDefault="0023750E">
      <w:pPr>
        <w:jc w:val="both"/>
        <w:rPr>
          <w:rFonts w:ascii="Calibri" w:eastAsia="Calibri" w:hAnsi="Calibri" w:cs="Calibri"/>
          <w:highlight w:val="white"/>
        </w:rPr>
      </w:pPr>
      <w:r>
        <w:rPr>
          <w:rFonts w:ascii="Roboto" w:eastAsia="Roboto" w:hAnsi="Roboto" w:cs="Roboto"/>
          <w:sz w:val="22"/>
          <w:szCs w:val="22"/>
        </w:rPr>
        <w:t xml:space="preserve">Tfno. 628 17 49 01 / </w:t>
      </w:r>
      <w:r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  <w:hyperlink r:id="rId15">
        <w:r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evamc@varenga.es</w:t>
        </w:r>
      </w:hyperlink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</w:t>
      </w:r>
    </w:p>
    <w:sectPr w:rsidR="00045193">
      <w:headerReference w:type="default" r:id="rId16"/>
      <w:footerReference w:type="default" r:id="rId1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4FD76" w14:textId="77777777" w:rsidR="0062502E" w:rsidRDefault="0023750E">
      <w:r>
        <w:separator/>
      </w:r>
    </w:p>
  </w:endnote>
  <w:endnote w:type="continuationSeparator" w:id="0">
    <w:p w14:paraId="6C24FD78" w14:textId="77777777" w:rsidR="0062502E" w:rsidRDefault="0023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FD70" w14:textId="0ED5CBD4" w:rsidR="00045193" w:rsidRDefault="002375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44C51">
      <w:rPr>
        <w:noProof/>
        <w:color w:val="000000"/>
      </w:rPr>
      <w:t>1</w:t>
    </w:r>
    <w:r>
      <w:rPr>
        <w:color w:val="000000"/>
      </w:rPr>
      <w:fldChar w:fldCharType="end"/>
    </w:r>
  </w:p>
  <w:p w14:paraId="6C24FD71" w14:textId="77777777" w:rsidR="00045193" w:rsidRDefault="000451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4FD72" w14:textId="77777777" w:rsidR="0062502E" w:rsidRDefault="0023750E">
      <w:r>
        <w:separator/>
      </w:r>
    </w:p>
  </w:footnote>
  <w:footnote w:type="continuationSeparator" w:id="0">
    <w:p w14:paraId="6C24FD74" w14:textId="77777777" w:rsidR="0062502E" w:rsidRDefault="00237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FD6D" w14:textId="77777777" w:rsidR="00045193" w:rsidRDefault="0023750E">
    <w:pPr>
      <w:ind w:left="-120"/>
      <w:jc w:val="both"/>
      <w:rPr>
        <w:rFonts w:ascii="Calibri" w:eastAsia="Calibri" w:hAnsi="Calibri" w:cs="Calibri"/>
        <w:b/>
        <w:sz w:val="40"/>
        <w:szCs w:val="4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C24FD72" wp14:editId="6C24FD73">
          <wp:simplePos x="0" y="0"/>
          <wp:positionH relativeFrom="column">
            <wp:posOffset>4114800</wp:posOffset>
          </wp:positionH>
          <wp:positionV relativeFrom="paragraph">
            <wp:posOffset>-304792</wp:posOffset>
          </wp:positionV>
          <wp:extent cx="1547842" cy="997267"/>
          <wp:effectExtent l="0" t="0" r="0" b="0"/>
          <wp:wrapSquare wrapText="bothSides" distT="114300" distB="11430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842" cy="9972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24FD6E" w14:textId="77777777" w:rsidR="00045193" w:rsidRDefault="0023750E">
    <w:pPr>
      <w:ind w:left="-120"/>
      <w:jc w:val="both"/>
      <w:rPr>
        <w:rFonts w:ascii="Nunito" w:eastAsia="Nunito" w:hAnsi="Nunito" w:cs="Nunito"/>
        <w:sz w:val="22"/>
        <w:szCs w:val="22"/>
      </w:rPr>
    </w:pPr>
    <w:r>
      <w:rPr>
        <w:rFonts w:ascii="Nunito" w:eastAsia="Nunito" w:hAnsi="Nunito" w:cs="Nunito"/>
        <w:b/>
        <w:sz w:val="40"/>
        <w:szCs w:val="40"/>
      </w:rPr>
      <w:t>NOTA DE PRENSA</w:t>
    </w:r>
    <w:r>
      <w:rPr>
        <w:rFonts w:ascii="Nunito" w:eastAsia="Nunito" w:hAnsi="Nunito" w:cs="Nunito"/>
        <w:sz w:val="22"/>
        <w:szCs w:val="22"/>
      </w:rPr>
      <w:t xml:space="preserve"> </w:t>
    </w:r>
  </w:p>
  <w:p w14:paraId="6C24FD6F" w14:textId="77777777" w:rsidR="00045193" w:rsidRDefault="000451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35177"/>
    <w:multiLevelType w:val="multilevel"/>
    <w:tmpl w:val="07D4BF7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8422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193"/>
    <w:rsid w:val="00045193"/>
    <w:rsid w:val="0023750E"/>
    <w:rsid w:val="0062502E"/>
    <w:rsid w:val="00844C51"/>
    <w:rsid w:val="00926B84"/>
    <w:rsid w:val="72FE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FD42"/>
  <w15:docId w15:val="{86FE8E46-D2DD-4093-A3B2-BF9BC427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844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ac.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lac.org/latest_ilac_news/iso-151892022-for-medical-labs-published/" TargetMode="External"/><Relationship Id="rId5" Type="http://schemas.openxmlformats.org/officeDocument/2006/relationships/styles" Target="styles.xml"/><Relationship Id="rId15" Type="http://schemas.openxmlformats.org/officeDocument/2006/relationships/hyperlink" Target="mailto:evamc@varenga.es" TargetMode="External"/><Relationship Id="rId10" Type="http://schemas.openxmlformats.org/officeDocument/2006/relationships/hyperlink" Target="http://www.enac.e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4" ma:contentTypeDescription="Crear nuevo documento." ma:contentTypeScope="" ma:versionID="8c82859fd4e960b8ffaef0e39e16015c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049ab530a684e88a73025cf0b0ecb7f7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5c5079e-b5d9-4f40-8558-acc8d9d79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6efcf77-0706-4f8e-b256-a6b4bd8b1840}" ma:internalName="TaxCatchAll" ma:showField="CatchAllData" ma:web="909e21e3-a2e2-47ca-be0e-9c3a9bef9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290ce1-b2e7-4ccb-948d-a290ef611fa1">
      <Terms xmlns="http://schemas.microsoft.com/office/infopath/2007/PartnerControls"/>
    </lcf76f155ced4ddcb4097134ff3c332f>
    <TaxCatchAll xmlns="909e21e3-a2e2-47ca-be0e-9c3a9bef9292" xsi:nil="true"/>
  </documentManagement>
</p:properties>
</file>

<file path=customXml/itemProps1.xml><?xml version="1.0" encoding="utf-8"?>
<ds:datastoreItem xmlns:ds="http://schemas.openxmlformats.org/officeDocument/2006/customXml" ds:itemID="{F758A5DE-E1B3-4402-A3AC-CD1B0CFD2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D983B8-3908-43A6-984B-3826181C2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59AF6B-AE9C-43FF-8FE6-AD2CD92156D9}">
  <ds:schemaRefs>
    <ds:schemaRef ds:uri="http://schemas.microsoft.com/office/2006/metadata/properties"/>
    <ds:schemaRef ds:uri="6e290ce1-b2e7-4ccb-948d-a290ef611fa1"/>
    <ds:schemaRef ds:uri="http://schemas.microsoft.com/office/2006/documentManagement/types"/>
    <ds:schemaRef ds:uri="http://purl.org/dc/terms/"/>
    <ds:schemaRef ds:uri="http://purl.org/dc/dcmitype/"/>
    <ds:schemaRef ds:uri="909e21e3-a2e2-47ca-be0e-9c3a9bef9292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Denise Diaz Pozo</cp:lastModifiedBy>
  <cp:revision>5</cp:revision>
  <dcterms:created xsi:type="dcterms:W3CDTF">2022-12-22T08:44:00Z</dcterms:created>
  <dcterms:modified xsi:type="dcterms:W3CDTF">2023-01-02T11:23:00Z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  <property fmtid="{D5CDD505-2E9C-101B-9397-08002B2CF9AE}" pid="3" name="MediaServiceImageTags">
    <vt:lpwstr/>
  </property>
</Properties>
</file>