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3A57" w14:textId="77777777" w:rsidR="009F6B59" w:rsidRDefault="009F6B59">
      <w:pPr>
        <w:jc w:val="center"/>
        <w:rPr>
          <w:rFonts w:ascii="Roboto" w:eastAsia="Roboto" w:hAnsi="Roboto" w:cs="Roboto"/>
          <w:b/>
          <w:sz w:val="32"/>
          <w:szCs w:val="32"/>
        </w:rPr>
      </w:pPr>
    </w:p>
    <w:p w14:paraId="73393A58" w14:textId="77777777" w:rsidR="009F6B59" w:rsidRDefault="00292A54">
      <w:pPr>
        <w:jc w:val="center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32"/>
          <w:szCs w:val="32"/>
        </w:rPr>
        <w:t xml:space="preserve"> ENAC, uno de los dos primeros firmantes del nuevo acuerdo europeo de reconocimiento para entidades de validación y verificación</w:t>
      </w:r>
    </w:p>
    <w:p w14:paraId="73393A59" w14:textId="77777777" w:rsidR="009F6B59" w:rsidRDefault="00292A54">
      <w:pPr>
        <w:shd w:val="clear" w:color="auto" w:fill="FFFFFF"/>
        <w:ind w:left="720"/>
        <w:jc w:val="both"/>
        <w:rPr>
          <w:rFonts w:ascii="Roboto" w:eastAsia="Roboto" w:hAnsi="Roboto" w:cs="Roboto"/>
          <w:color w:val="FF0000"/>
          <w:sz w:val="22"/>
          <w:szCs w:val="22"/>
        </w:rPr>
      </w:pPr>
      <w:r>
        <w:rPr>
          <w:rFonts w:ascii="Roboto" w:eastAsia="Roboto" w:hAnsi="Roboto" w:cs="Roboto"/>
          <w:color w:val="FF0000"/>
          <w:sz w:val="22"/>
          <w:szCs w:val="22"/>
        </w:rPr>
        <w:t xml:space="preserve"> </w:t>
      </w:r>
    </w:p>
    <w:p w14:paraId="73393A5A" w14:textId="2B580DBE" w:rsidR="009F6B59" w:rsidRDefault="00292A54">
      <w:pPr>
        <w:numPr>
          <w:ilvl w:val="0"/>
          <w:numId w:val="1"/>
        </w:numPr>
        <w:jc w:val="both"/>
        <w:rPr>
          <w:rFonts w:ascii="Roboto" w:eastAsia="Roboto" w:hAnsi="Roboto" w:cs="Roboto"/>
          <w:b/>
          <w:sz w:val="20"/>
          <w:szCs w:val="20"/>
        </w:rPr>
      </w:pPr>
      <w:r w:rsidRPr="34A86C52">
        <w:rPr>
          <w:rFonts w:ascii="Roboto" w:eastAsia="Roboto" w:hAnsi="Roboto" w:cs="Roboto"/>
          <w:b/>
          <w:sz w:val="20"/>
          <w:szCs w:val="20"/>
        </w:rPr>
        <w:t>Las cinco entidades acreditadas por ENAC hasta el momento serán reconocidas por el mercado internacional como organizaciones con competencia técnica para llevar a cabo la actividad de validación, lo que se traducirá, en consecuencia, en confianza añadida sobre sus servicios fuera de nuestras fronteras</w:t>
      </w:r>
    </w:p>
    <w:p w14:paraId="73393A5B" w14:textId="77777777" w:rsidR="009F6B59" w:rsidRDefault="00292A54">
      <w:pPr>
        <w:shd w:val="clear" w:color="auto" w:fill="FFFFFF"/>
        <w:jc w:val="both"/>
        <w:rPr>
          <w:rFonts w:ascii="Roboto" w:eastAsia="Roboto" w:hAnsi="Roboto" w:cs="Roboto"/>
          <w:color w:val="1F497D"/>
          <w:sz w:val="22"/>
          <w:szCs w:val="22"/>
        </w:rPr>
      </w:pPr>
      <w:r>
        <w:rPr>
          <w:rFonts w:ascii="Roboto" w:eastAsia="Roboto" w:hAnsi="Roboto" w:cs="Roboto"/>
          <w:color w:val="1F497D"/>
          <w:sz w:val="22"/>
          <w:szCs w:val="22"/>
        </w:rPr>
        <w:t xml:space="preserve"> </w:t>
      </w:r>
    </w:p>
    <w:p w14:paraId="73393A5C" w14:textId="7ED3979C" w:rsidR="009F6B59" w:rsidRDefault="00292A5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Madrid, octubre de 2022. – La </w:t>
      </w:r>
      <w:hyperlink r:id="rId10" w:history="1">
        <w:r>
          <w:rPr>
            <w:rFonts w:ascii="Roboto" w:eastAsia="Roboto" w:hAnsi="Roboto" w:cs="Roboto"/>
            <w:sz w:val="22"/>
            <w:szCs w:val="22"/>
          </w:rPr>
          <w:t>Entidad Nacional de Acreditación</w:t>
        </w:r>
      </w:hyperlink>
      <w:r>
        <w:rPr>
          <w:rFonts w:ascii="Roboto" w:eastAsia="Roboto" w:hAnsi="Roboto" w:cs="Roboto"/>
          <w:sz w:val="22"/>
          <w:szCs w:val="22"/>
        </w:rPr>
        <w:t xml:space="preserve"> (ENAC) se ha convertido en una de las dos primeras organizaciones de acreditadores en firmar el nuevo acuerdo internacional de reconocimiento para la actividad de validación y verificación establecido por </w:t>
      </w:r>
      <w:r>
        <w:fldChar w:fldCharType="begin"/>
      </w:r>
      <w:r>
        <w:fldChar w:fldCharType="separate"/>
      </w:r>
      <w:r w:rsidRPr="34A86C52">
        <w:rPr>
          <w:rFonts w:ascii="Roboto" w:eastAsia="Roboto" w:hAnsi="Roboto" w:cs="Roboto"/>
          <w:color w:val="1155CC"/>
          <w:sz w:val="22"/>
          <w:szCs w:val="22"/>
          <w:u w:val="single"/>
        </w:rPr>
        <w:t>European Accreditation</w:t>
      </w:r>
      <w:r>
        <w:fldChar w:fldCharType="end"/>
      </w:r>
      <w:r w:rsidRPr="34A86C52">
        <w:rPr>
          <w:rFonts w:ascii="Roboto" w:eastAsia="Roboto" w:hAnsi="Roboto" w:cs="Roboto"/>
          <w:sz w:val="22"/>
          <w:szCs w:val="22"/>
        </w:rPr>
        <w:t xml:space="preserve"> (EA).</w:t>
      </w:r>
      <w:r w:rsidR="002E0CB6" w:rsidRPr="34A86C52">
        <w:rPr>
          <w:rFonts w:ascii="Roboto" w:eastAsia="Roboto" w:hAnsi="Roboto" w:cs="Roboto"/>
          <w:sz w:val="22"/>
          <w:szCs w:val="22"/>
        </w:rPr>
        <w:t xml:space="preserve"> T</w:t>
      </w:r>
      <w:r w:rsidRPr="34A86C52">
        <w:rPr>
          <w:rFonts w:ascii="Roboto" w:eastAsia="Roboto" w:hAnsi="Roboto" w:cs="Roboto"/>
          <w:sz w:val="22"/>
          <w:szCs w:val="22"/>
        </w:rPr>
        <w:t>ras</w:t>
      </w:r>
      <w:r>
        <w:rPr>
          <w:rFonts w:ascii="Roboto" w:eastAsia="Roboto" w:hAnsi="Roboto" w:cs="Roboto"/>
          <w:sz w:val="22"/>
          <w:szCs w:val="22"/>
        </w:rPr>
        <w:t xml:space="preserve"> superar el riguroso proceso de evaluación establecido, el organismo de acreditación español, ENAC, </w:t>
      </w:r>
      <w:r w:rsidR="3E74AF7B" w:rsidRPr="34A86C52">
        <w:rPr>
          <w:rFonts w:ascii="Roboto" w:eastAsia="Roboto" w:hAnsi="Roboto" w:cs="Roboto"/>
          <w:sz w:val="22"/>
          <w:szCs w:val="22"/>
        </w:rPr>
        <w:t>y</w:t>
      </w:r>
      <w:r>
        <w:rPr>
          <w:rFonts w:ascii="Roboto" w:eastAsia="Roboto" w:hAnsi="Roboto" w:cs="Roboto"/>
          <w:sz w:val="22"/>
          <w:szCs w:val="22"/>
        </w:rPr>
        <w:t xml:space="preserve"> TURKAK (organismo de acreditación turco), se convierten en los dos primeros firmantes europeos. </w:t>
      </w:r>
    </w:p>
    <w:p w14:paraId="73393A5D" w14:textId="77777777" w:rsidR="009F6B59" w:rsidRDefault="009F6B59">
      <w:pPr>
        <w:jc w:val="both"/>
        <w:rPr>
          <w:rFonts w:ascii="Roboto" w:eastAsia="Roboto" w:hAnsi="Roboto" w:cs="Roboto"/>
          <w:sz w:val="22"/>
          <w:szCs w:val="22"/>
        </w:rPr>
      </w:pPr>
    </w:p>
    <w:p w14:paraId="73393A5E" w14:textId="7E0B1924" w:rsidR="009F6B59" w:rsidRDefault="00292A5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Los acuerdos de reconocimiento mutuo (multilateral </w:t>
      </w:r>
      <w:proofErr w:type="spellStart"/>
      <w:r>
        <w:rPr>
          <w:rFonts w:ascii="Roboto" w:eastAsia="Roboto" w:hAnsi="Roboto" w:cs="Roboto"/>
          <w:sz w:val="22"/>
          <w:szCs w:val="22"/>
        </w:rPr>
        <w:t>agreement</w:t>
      </w:r>
      <w:proofErr w:type="spellEnd"/>
      <w:r>
        <w:rPr>
          <w:rFonts w:ascii="Roboto" w:eastAsia="Roboto" w:hAnsi="Roboto" w:cs="Roboto"/>
          <w:sz w:val="22"/>
          <w:szCs w:val="22"/>
        </w:rPr>
        <w:t>, MLA)</w:t>
      </w:r>
      <w:r>
        <w:rPr>
          <w:rFonts w:ascii="Roboto" w:eastAsia="Roboto" w:hAnsi="Roboto" w:cs="Roboto"/>
          <w:b/>
          <w:sz w:val="22"/>
          <w:szCs w:val="22"/>
        </w:rPr>
        <w:t xml:space="preserve"> son un instrumento fundamental para reducir o eliminar los obstáculos técnicos al comercio, uno de los objetivos básicos de la acreditación</w:t>
      </w:r>
      <w:r>
        <w:rPr>
          <w:rFonts w:ascii="Roboto" w:eastAsia="Roboto" w:hAnsi="Roboto" w:cs="Roboto"/>
          <w:sz w:val="22"/>
          <w:szCs w:val="22"/>
        </w:rPr>
        <w:t>. Gracias a la firma de los MLA los organismos de acreditación demuestran su confianza y aceptación de la información proporcionada por los evaluadores de la conformidad acreditados con independencia del país en que se encuentren.</w:t>
      </w:r>
    </w:p>
    <w:p w14:paraId="73393A5F" w14:textId="77777777" w:rsidR="009F6B59" w:rsidRDefault="009F6B59">
      <w:pPr>
        <w:jc w:val="both"/>
        <w:rPr>
          <w:rFonts w:ascii="Roboto" w:eastAsia="Roboto" w:hAnsi="Roboto" w:cs="Roboto"/>
          <w:sz w:val="22"/>
          <w:szCs w:val="22"/>
        </w:rPr>
      </w:pPr>
    </w:p>
    <w:p w14:paraId="73393A60" w14:textId="77777777" w:rsidR="009F6B59" w:rsidRDefault="00292A5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De este modo, las </w:t>
      </w:r>
      <w:r>
        <w:rPr>
          <w:rFonts w:ascii="Roboto" w:eastAsia="Roboto" w:hAnsi="Roboto" w:cs="Roboto"/>
          <w:b/>
          <w:sz w:val="22"/>
          <w:szCs w:val="22"/>
        </w:rPr>
        <w:t>cinco entidades acreditadas por ENAC</w:t>
      </w:r>
      <w:r>
        <w:rPr>
          <w:rFonts w:ascii="Roboto" w:eastAsia="Roboto" w:hAnsi="Roboto" w:cs="Roboto"/>
          <w:sz w:val="22"/>
          <w:szCs w:val="22"/>
        </w:rPr>
        <w:t xml:space="preserve"> hasta el momento (ACIE Agencia de Certificación Española, </w:t>
      </w:r>
      <w:proofErr w:type="spellStart"/>
      <w:r>
        <w:rPr>
          <w:rFonts w:ascii="Roboto" w:eastAsia="Roboto" w:hAnsi="Roboto" w:cs="Roboto"/>
          <w:sz w:val="22"/>
          <w:szCs w:val="22"/>
        </w:rPr>
        <w:t>Aenor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Internacional, EQA </w:t>
      </w:r>
      <w:proofErr w:type="spellStart"/>
      <w:r>
        <w:rPr>
          <w:rFonts w:ascii="Roboto" w:eastAsia="Roboto" w:hAnsi="Roboto" w:cs="Roboto"/>
          <w:sz w:val="22"/>
          <w:szCs w:val="22"/>
        </w:rPr>
        <w:t>European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Quality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Assurance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Spain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, ICDQ Instituto de Certificación y SGS International </w:t>
      </w:r>
      <w:proofErr w:type="spellStart"/>
      <w:r>
        <w:rPr>
          <w:rFonts w:ascii="Roboto" w:eastAsia="Roboto" w:hAnsi="Roboto" w:cs="Roboto"/>
          <w:sz w:val="22"/>
          <w:szCs w:val="22"/>
        </w:rPr>
        <w:t>Certification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Services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Ibérica), </w:t>
      </w:r>
      <w:r>
        <w:rPr>
          <w:rFonts w:ascii="Roboto" w:eastAsia="Roboto" w:hAnsi="Roboto" w:cs="Roboto"/>
          <w:b/>
          <w:sz w:val="22"/>
          <w:szCs w:val="22"/>
        </w:rPr>
        <w:t>serán reconocidas por el mercado internacional como organizaciones con competencia técnica para llevar a cabo la actividad de validación</w:t>
      </w:r>
      <w:r>
        <w:rPr>
          <w:rFonts w:ascii="Roboto" w:eastAsia="Roboto" w:hAnsi="Roboto" w:cs="Roboto"/>
          <w:sz w:val="22"/>
          <w:szCs w:val="22"/>
        </w:rPr>
        <w:t>, lo que se traducirá, en consecuencia, en confianza añadida sobre  sus servicios fuera de nuestras fronteras.</w:t>
      </w:r>
    </w:p>
    <w:p w14:paraId="73393A61" w14:textId="77777777" w:rsidR="009F6B59" w:rsidRDefault="009F6B59">
      <w:pPr>
        <w:jc w:val="both"/>
        <w:rPr>
          <w:rFonts w:ascii="Roboto" w:eastAsia="Roboto" w:hAnsi="Roboto" w:cs="Roboto"/>
          <w:sz w:val="22"/>
          <w:szCs w:val="22"/>
        </w:rPr>
      </w:pPr>
    </w:p>
    <w:p w14:paraId="73393A62" w14:textId="77777777" w:rsidR="009F6B59" w:rsidRDefault="00292A5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ENAC ha otorgado </w:t>
      </w:r>
      <w:r>
        <w:rPr>
          <w:rFonts w:ascii="Roboto" w:eastAsia="Roboto" w:hAnsi="Roboto" w:cs="Roboto"/>
          <w:b/>
          <w:sz w:val="22"/>
          <w:szCs w:val="22"/>
        </w:rPr>
        <w:t>estas primeras acreditaciones para la validación de autoevaluaciones del principio DNSH</w:t>
      </w:r>
      <w:r>
        <w:rPr>
          <w:rFonts w:ascii="Roboto" w:eastAsia="Roboto" w:hAnsi="Roboto" w:cs="Roboto"/>
          <w:sz w:val="22"/>
          <w:szCs w:val="22"/>
        </w:rPr>
        <w:t xml:space="preserve"> (</w:t>
      </w:r>
      <w:r>
        <w:rPr>
          <w:rFonts w:ascii="Roboto" w:eastAsia="Roboto" w:hAnsi="Roboto" w:cs="Roboto"/>
          <w:b/>
          <w:sz w:val="22"/>
          <w:szCs w:val="22"/>
        </w:rPr>
        <w:t>no causar un perjuicio significativo al medioambiente)</w:t>
      </w:r>
      <w:r>
        <w:rPr>
          <w:rFonts w:ascii="Roboto" w:eastAsia="Roboto" w:hAnsi="Roboto" w:cs="Roboto"/>
          <w:sz w:val="22"/>
          <w:szCs w:val="22"/>
        </w:rPr>
        <w:t xml:space="preserve">, extensamente requerido por distintas administraciones y organismos autónomos para la gestión de fondos públicos.  </w:t>
      </w:r>
    </w:p>
    <w:p w14:paraId="73393A63" w14:textId="77777777" w:rsidR="009F6B59" w:rsidRDefault="009F6B59">
      <w:pPr>
        <w:jc w:val="both"/>
        <w:rPr>
          <w:rFonts w:ascii="Roboto" w:eastAsia="Roboto" w:hAnsi="Roboto" w:cs="Roboto"/>
          <w:sz w:val="22"/>
          <w:szCs w:val="22"/>
        </w:rPr>
      </w:pPr>
    </w:p>
    <w:p w14:paraId="73393A64" w14:textId="77777777" w:rsidR="009F6B59" w:rsidRDefault="00292A54">
      <w:pPr>
        <w:jc w:val="both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Validación y verificación, confirmando la fiabilidad de la información</w:t>
      </w:r>
    </w:p>
    <w:p w14:paraId="73393A65" w14:textId="77777777" w:rsidR="009F6B59" w:rsidRDefault="009F6B59">
      <w:pPr>
        <w:jc w:val="both"/>
        <w:rPr>
          <w:rFonts w:ascii="Roboto" w:eastAsia="Roboto" w:hAnsi="Roboto" w:cs="Roboto"/>
          <w:b/>
          <w:sz w:val="22"/>
          <w:szCs w:val="22"/>
        </w:rPr>
      </w:pPr>
    </w:p>
    <w:p w14:paraId="73393A66" w14:textId="77777777" w:rsidR="009F6B59" w:rsidRDefault="00292A5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La validación y verificación (V&amp;V) es una actividad de evaluación que pretende confirmar la fiabilidad de determinada información presente en declaraciones, informes, reportes, memorias, etc. realizadas por una empresa u otro tipo de organizaciones. </w:t>
      </w:r>
    </w:p>
    <w:p w14:paraId="73393A67" w14:textId="77777777" w:rsidR="009F6B59" w:rsidRDefault="009F6B59">
      <w:pPr>
        <w:jc w:val="both"/>
        <w:rPr>
          <w:rFonts w:ascii="Roboto" w:eastAsia="Roboto" w:hAnsi="Roboto" w:cs="Roboto"/>
          <w:sz w:val="22"/>
          <w:szCs w:val="22"/>
        </w:rPr>
      </w:pPr>
    </w:p>
    <w:p w14:paraId="73393A68" w14:textId="77777777" w:rsidR="009F6B59" w:rsidRDefault="00292A5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Por un lado, la validación se aplica a las declaraciones que hacen referencia a hechos o eventos con un uso previsto futuro o un resultado proyectado (verosimilitud), mientras que la verificación es aplicable a las declaraciones que aluden a hechos que ya han ocurrido o a resultados que ya se han obtenido (veracidad).</w:t>
      </w:r>
    </w:p>
    <w:p w14:paraId="73393A69" w14:textId="77777777" w:rsidR="009F6B59" w:rsidRDefault="009F6B59">
      <w:pPr>
        <w:jc w:val="both"/>
        <w:rPr>
          <w:rFonts w:ascii="Roboto" w:eastAsia="Roboto" w:hAnsi="Roboto" w:cs="Roboto"/>
          <w:sz w:val="22"/>
          <w:szCs w:val="22"/>
        </w:rPr>
      </w:pPr>
    </w:p>
    <w:p w14:paraId="60E75C00" w14:textId="77777777" w:rsidR="005C4CDD" w:rsidRDefault="005C4CDD">
      <w:pPr>
        <w:jc w:val="both"/>
        <w:rPr>
          <w:rFonts w:ascii="Roboto" w:eastAsia="Roboto" w:hAnsi="Roboto" w:cs="Roboto"/>
          <w:sz w:val="22"/>
          <w:szCs w:val="22"/>
        </w:rPr>
      </w:pPr>
    </w:p>
    <w:p w14:paraId="632D71E9" w14:textId="77777777" w:rsidR="005C4CDD" w:rsidRDefault="005C4CDD">
      <w:pPr>
        <w:jc w:val="both"/>
        <w:rPr>
          <w:rFonts w:ascii="Roboto" w:eastAsia="Roboto" w:hAnsi="Roboto" w:cs="Roboto"/>
          <w:sz w:val="22"/>
          <w:szCs w:val="22"/>
        </w:rPr>
      </w:pPr>
    </w:p>
    <w:p w14:paraId="73393A6A" w14:textId="26C15D85" w:rsidR="009F6B59" w:rsidRDefault="00292A5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El valor añadido que aportan la validación y la verificación consiste en la confirmación o aseguramiento de la confiabilidad del contenido en dicha declaración a través de la obtención de pruebas y evidencias objetivas, haciendo uso del proceso de V&amp;V, de que se han cumplido los requisitos especificados para la declaración.</w:t>
      </w:r>
    </w:p>
    <w:p w14:paraId="73393A6B" w14:textId="77777777" w:rsidR="009F6B59" w:rsidRDefault="009F6B59">
      <w:pPr>
        <w:jc w:val="both"/>
        <w:rPr>
          <w:rFonts w:ascii="Roboto" w:eastAsia="Roboto" w:hAnsi="Roboto" w:cs="Roboto"/>
          <w:sz w:val="22"/>
          <w:szCs w:val="22"/>
        </w:rPr>
      </w:pPr>
    </w:p>
    <w:p w14:paraId="73393A6C" w14:textId="77777777" w:rsidR="009F6B59" w:rsidRDefault="00292A5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Para aportar la mayor seguridad posible en el desarrollo de su actividad, es preciso que las entidades de validación y verificación </w:t>
      </w:r>
      <w:r>
        <w:rPr>
          <w:rFonts w:ascii="Roboto" w:eastAsia="Roboto" w:hAnsi="Roboto" w:cs="Roboto"/>
          <w:b/>
          <w:sz w:val="22"/>
          <w:szCs w:val="22"/>
        </w:rPr>
        <w:t xml:space="preserve">demuestren que son competentes técnicamente </w:t>
      </w:r>
      <w:r>
        <w:rPr>
          <w:rFonts w:ascii="Roboto" w:eastAsia="Roboto" w:hAnsi="Roboto" w:cs="Roboto"/>
          <w:sz w:val="22"/>
          <w:szCs w:val="22"/>
        </w:rPr>
        <w:t xml:space="preserve">y que actúan con la necesaria integridad. </w:t>
      </w:r>
      <w:r>
        <w:rPr>
          <w:rFonts w:ascii="Roboto" w:eastAsia="Roboto" w:hAnsi="Roboto" w:cs="Roboto"/>
          <w:b/>
          <w:sz w:val="22"/>
          <w:szCs w:val="22"/>
        </w:rPr>
        <w:t>El único mecanismo reconocido internacionalmente para demostrarlo es la acreditación conforme a la norma UNE EN ISO/IEC 17029</w:t>
      </w:r>
      <w:r>
        <w:rPr>
          <w:rFonts w:ascii="Roboto" w:eastAsia="Roboto" w:hAnsi="Roboto" w:cs="Roboto"/>
          <w:sz w:val="22"/>
          <w:szCs w:val="22"/>
        </w:rPr>
        <w:t>.</w:t>
      </w:r>
    </w:p>
    <w:p w14:paraId="73393A6D" w14:textId="77777777" w:rsidR="009F6B59" w:rsidRDefault="009F6B59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14:paraId="73393A6E" w14:textId="77777777" w:rsidR="009F6B59" w:rsidRDefault="00292A54">
      <w:pPr>
        <w:spacing w:after="200" w:line="276" w:lineRule="auto"/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</w:p>
    <w:p w14:paraId="73393A6F" w14:textId="5EE949AB" w:rsidR="009F6B59" w:rsidRDefault="00292A5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La Entidad Nacional de Acreditación – ENAC – es la entidad designada por el Gobierno para operar en España como el único Organismo Nacional de Acreditación, en aplicación del Reglamento (CE) </w:t>
      </w:r>
      <w:r w:rsidRPr="34A86C52">
        <w:rPr>
          <w:rFonts w:ascii="Roboto" w:eastAsia="Roboto" w:hAnsi="Roboto" w:cs="Roboto"/>
          <w:sz w:val="22"/>
          <w:szCs w:val="22"/>
        </w:rPr>
        <w:t>nº765</w:t>
      </w:r>
      <w:r>
        <w:rPr>
          <w:rFonts w:ascii="Roboto" w:eastAsia="Roboto" w:hAnsi="Roboto" w:cs="Roboto"/>
          <w:sz w:val="22"/>
          <w:szCs w:val="22"/>
        </w:rPr>
        <w:t>/2008 del Parlamento Europeo que regula el funcionamiento de la acreditación en Europa.</w:t>
      </w:r>
    </w:p>
    <w:p w14:paraId="73393A70" w14:textId="77777777" w:rsidR="009F6B59" w:rsidRDefault="00292A5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1F497D"/>
          <w:sz w:val="22"/>
          <w:szCs w:val="22"/>
        </w:rPr>
        <w:t> </w:t>
      </w:r>
    </w:p>
    <w:p w14:paraId="73393A71" w14:textId="77777777" w:rsidR="009F6B59" w:rsidRDefault="00292A5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73393A72" w14:textId="77777777" w:rsidR="009F6B59" w:rsidRDefault="00292A5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 </w:t>
      </w:r>
    </w:p>
    <w:p w14:paraId="73393A73" w14:textId="77777777" w:rsidR="009F6B59" w:rsidRDefault="00292A5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73393A74" w14:textId="77777777" w:rsidR="009F6B59" w:rsidRDefault="009F6B59">
      <w:pPr>
        <w:jc w:val="both"/>
        <w:rPr>
          <w:rFonts w:ascii="Roboto" w:eastAsia="Roboto" w:hAnsi="Roboto" w:cs="Roboto"/>
          <w:sz w:val="22"/>
          <w:szCs w:val="22"/>
        </w:rPr>
      </w:pPr>
    </w:p>
    <w:p w14:paraId="73393A75" w14:textId="77777777" w:rsidR="009F6B59" w:rsidRDefault="009F6B59">
      <w:pPr>
        <w:jc w:val="both"/>
        <w:rPr>
          <w:rFonts w:ascii="Roboto" w:eastAsia="Roboto" w:hAnsi="Roboto" w:cs="Roboto"/>
          <w:sz w:val="22"/>
          <w:szCs w:val="22"/>
        </w:rPr>
      </w:pPr>
    </w:p>
    <w:p w14:paraId="73393A76" w14:textId="77777777" w:rsidR="009F6B59" w:rsidRDefault="009F6B59">
      <w:pPr>
        <w:jc w:val="both"/>
        <w:rPr>
          <w:rFonts w:ascii="Roboto" w:eastAsia="Roboto" w:hAnsi="Roboto" w:cs="Roboto"/>
          <w:sz w:val="22"/>
          <w:szCs w:val="22"/>
        </w:rPr>
      </w:pPr>
    </w:p>
    <w:p w14:paraId="73393A77" w14:textId="77777777" w:rsidR="009F6B59" w:rsidRDefault="009F6B59">
      <w:pPr>
        <w:jc w:val="both"/>
        <w:rPr>
          <w:rFonts w:ascii="Roboto" w:eastAsia="Roboto" w:hAnsi="Roboto" w:cs="Roboto"/>
          <w:sz w:val="22"/>
          <w:szCs w:val="22"/>
        </w:rPr>
      </w:pPr>
    </w:p>
    <w:p w14:paraId="73393A78" w14:textId="77777777" w:rsidR="009F6B59" w:rsidRDefault="009F6B59">
      <w:pPr>
        <w:jc w:val="both"/>
        <w:rPr>
          <w:rFonts w:ascii="Roboto" w:eastAsia="Roboto" w:hAnsi="Roboto" w:cs="Roboto"/>
          <w:sz w:val="22"/>
          <w:szCs w:val="22"/>
        </w:rPr>
      </w:pPr>
    </w:p>
    <w:p w14:paraId="73393A79" w14:textId="77777777" w:rsidR="009F6B59" w:rsidRDefault="00292A54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1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73393A7A" w14:textId="77777777" w:rsidR="009F6B59" w:rsidRDefault="009F6B59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73393A7B" w14:textId="77777777" w:rsidR="009F6B59" w:rsidRDefault="00292A54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73393A85" wp14:editId="73393A86">
            <wp:extent cx="304800" cy="304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73393A87" wp14:editId="73393A88">
            <wp:extent cx="304800" cy="3048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393A7C" w14:textId="77777777" w:rsidR="009F6B59" w:rsidRDefault="009F6B59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73393A7D" w14:textId="77777777" w:rsidR="009F6B59" w:rsidRDefault="009F6B59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73393A7E" w14:textId="77777777" w:rsidR="009F6B59" w:rsidRDefault="00292A5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73393A7F" w14:textId="77777777" w:rsidR="009F6B59" w:rsidRDefault="00292A5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73393A80" w14:textId="77777777" w:rsidR="009F6B59" w:rsidRDefault="00292A5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4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73393A84" w14:textId="77777777" w:rsidR="009F6B59" w:rsidRDefault="009F6B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9F6B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CEFD" w14:textId="77777777" w:rsidR="00292A54" w:rsidRDefault="00292A54">
      <w:r>
        <w:separator/>
      </w:r>
    </w:p>
  </w:endnote>
  <w:endnote w:type="continuationSeparator" w:id="0">
    <w:p w14:paraId="3CB519B0" w14:textId="77777777" w:rsidR="00292A54" w:rsidRDefault="00292A54">
      <w:r>
        <w:continuationSeparator/>
      </w:r>
    </w:p>
  </w:endnote>
  <w:endnote w:type="continuationNotice" w:id="1">
    <w:p w14:paraId="4D249562" w14:textId="77777777" w:rsidR="00B14E21" w:rsidRDefault="00B14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3A8F" w14:textId="77777777" w:rsidR="009F6B59" w:rsidRDefault="009F6B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3A90" w14:textId="48C61DE6" w:rsidR="009F6B59" w:rsidRDefault="00292A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3E57">
      <w:rPr>
        <w:noProof/>
        <w:color w:val="000000"/>
      </w:rPr>
      <w:t>1</w:t>
    </w:r>
    <w:r>
      <w:rPr>
        <w:color w:val="000000"/>
      </w:rPr>
      <w:fldChar w:fldCharType="end"/>
    </w:r>
  </w:p>
  <w:p w14:paraId="73393A91" w14:textId="77777777" w:rsidR="009F6B59" w:rsidRDefault="009F6B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3A93" w14:textId="77777777" w:rsidR="009F6B59" w:rsidRDefault="009F6B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BFC8" w14:textId="77777777" w:rsidR="00292A54" w:rsidRDefault="00292A54">
      <w:r>
        <w:separator/>
      </w:r>
    </w:p>
  </w:footnote>
  <w:footnote w:type="continuationSeparator" w:id="0">
    <w:p w14:paraId="475CE4D7" w14:textId="77777777" w:rsidR="00292A54" w:rsidRDefault="00292A54">
      <w:r>
        <w:continuationSeparator/>
      </w:r>
    </w:p>
  </w:footnote>
  <w:footnote w:type="continuationNotice" w:id="1">
    <w:p w14:paraId="62C6AD2E" w14:textId="77777777" w:rsidR="00B14E21" w:rsidRDefault="00B14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3A8B" w14:textId="77777777" w:rsidR="009F6B59" w:rsidRDefault="009F6B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3A8C" w14:textId="77777777" w:rsidR="009F6B59" w:rsidRDefault="00292A54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3393A94" wp14:editId="73393A95">
          <wp:simplePos x="0" y="0"/>
          <wp:positionH relativeFrom="column">
            <wp:posOffset>4114800</wp:posOffset>
          </wp:positionH>
          <wp:positionV relativeFrom="paragraph">
            <wp:posOffset>-304796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393A8D" w14:textId="77777777" w:rsidR="009F6B59" w:rsidRDefault="00292A54">
    <w:pPr>
      <w:ind w:left="-120"/>
      <w:jc w:val="both"/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  <w:sz w:val="22"/>
        <w:szCs w:val="22"/>
      </w:rPr>
      <w:t xml:space="preserve"> </w:t>
    </w:r>
  </w:p>
  <w:p w14:paraId="73393A8E" w14:textId="77777777" w:rsidR="009F6B59" w:rsidRDefault="009F6B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3A92" w14:textId="77777777" w:rsidR="009F6B59" w:rsidRDefault="009F6B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F4AB4"/>
    <w:multiLevelType w:val="multilevel"/>
    <w:tmpl w:val="5C6C345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845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B59"/>
    <w:rsid w:val="00292A54"/>
    <w:rsid w:val="002E0CB6"/>
    <w:rsid w:val="00323E57"/>
    <w:rsid w:val="005821FF"/>
    <w:rsid w:val="005C4CDD"/>
    <w:rsid w:val="006A5C79"/>
    <w:rsid w:val="009F6B59"/>
    <w:rsid w:val="00B14E21"/>
    <w:rsid w:val="00B36C03"/>
    <w:rsid w:val="00C53A43"/>
    <w:rsid w:val="00D569A8"/>
    <w:rsid w:val="00E2708D"/>
    <w:rsid w:val="0591A34C"/>
    <w:rsid w:val="1C41A83C"/>
    <w:rsid w:val="2F975A4E"/>
    <w:rsid w:val="34A86C52"/>
    <w:rsid w:val="3E74AF7B"/>
    <w:rsid w:val="7DD4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3A57"/>
  <w15:docId w15:val="{5C49B71C-E3E1-493E-B807-D18448DB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E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E5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23E57"/>
  </w:style>
  <w:style w:type="paragraph" w:styleId="Encabezado">
    <w:name w:val="header"/>
    <w:basedOn w:val="Normal"/>
    <w:link w:val="EncabezadoCar"/>
    <w:uiPriority w:val="99"/>
    <w:semiHidden/>
    <w:unhideWhenUsed/>
    <w:rsid w:val="00B14E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4E21"/>
  </w:style>
  <w:style w:type="paragraph" w:styleId="Piedepgina">
    <w:name w:val="footer"/>
    <w:basedOn w:val="Normal"/>
    <w:link w:val="PiedepginaCar"/>
    <w:uiPriority w:val="99"/>
    <w:semiHidden/>
    <w:unhideWhenUsed/>
    <w:rsid w:val="00B14E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4E21"/>
  </w:style>
  <w:style w:type="table" w:customStyle="1" w:styleId="TableNormal1">
    <w:name w:val="Table Normal1"/>
    <w:rsid w:val="00B14E2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ac.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enac.es/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vamc@varenga.e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DD00A-70BF-44E5-9F2F-2264F9ABD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EBA55-ED01-4247-8428-D2614CA9DB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e290ce1-b2e7-4ccb-948d-a290ef611fa1"/>
    <ds:schemaRef ds:uri="909e21e3-a2e2-47ca-be0e-9c3a9bef929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25B1D2-A89E-41EF-B117-BF81E313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Links>
    <vt:vector size="24" baseType="variant">
      <vt:variant>
        <vt:i4>7012444</vt:i4>
      </vt:variant>
      <vt:variant>
        <vt:i4>12</vt:i4>
      </vt:variant>
      <vt:variant>
        <vt:i4>0</vt:i4>
      </vt:variant>
      <vt:variant>
        <vt:i4>5</vt:i4>
      </vt:variant>
      <vt:variant>
        <vt:lpwstr>mailto:evamc@varenga.es</vt:lpwstr>
      </vt:variant>
      <vt:variant>
        <vt:lpwstr/>
      </vt:variant>
      <vt:variant>
        <vt:i4>7471160</vt:i4>
      </vt:variant>
      <vt:variant>
        <vt:i4>9</vt:i4>
      </vt:variant>
      <vt:variant>
        <vt:i4>0</vt:i4>
      </vt:variant>
      <vt:variant>
        <vt:i4>5</vt:i4>
      </vt:variant>
      <vt:variant>
        <vt:lpwstr>http://www.enac.es/</vt:lpwstr>
      </vt:variant>
      <vt:variant>
        <vt:lpwstr/>
      </vt:variant>
      <vt:variant>
        <vt:i4>6291501</vt:i4>
      </vt:variant>
      <vt:variant>
        <vt:i4>6</vt:i4>
      </vt:variant>
      <vt:variant>
        <vt:i4>0</vt:i4>
      </vt:variant>
      <vt:variant>
        <vt:i4>5</vt:i4>
      </vt:variant>
      <vt:variant>
        <vt:lpwstr>https://european-accreditation.org/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https://www.enac.es/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Diaz Pozo</dc:creator>
  <cp:keywords/>
  <cp:lastModifiedBy>Denise Diaz Pozo</cp:lastModifiedBy>
  <cp:revision>2</cp:revision>
  <dcterms:created xsi:type="dcterms:W3CDTF">2022-10-13T11:00:00Z</dcterms:created>
  <dcterms:modified xsi:type="dcterms:W3CDTF">2022-10-13T11:00:00Z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