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522134" w:rsidRDefault="00522134" w14:paraId="161F3543" w14:textId="77777777">
      <w:pPr>
        <w:jc w:val="both"/>
        <w:rPr>
          <w:rFonts w:ascii="Roboto" w:hAnsi="Roboto" w:eastAsia="Roboto" w:cs="Roboto"/>
          <w:b/>
          <w:sz w:val="32"/>
          <w:szCs w:val="32"/>
        </w:rPr>
      </w:pPr>
    </w:p>
    <w:p w:rsidR="00522134" w:rsidRDefault="00000000" w14:paraId="161F3544" w14:textId="3A181CFA">
      <w:pPr>
        <w:jc w:val="center"/>
        <w:rPr>
          <w:rFonts w:ascii="Roboto" w:hAnsi="Roboto" w:eastAsia="Roboto" w:cs="Roboto"/>
          <w:b/>
          <w:sz w:val="34"/>
          <w:szCs w:val="34"/>
        </w:rPr>
      </w:pPr>
      <w:r>
        <w:rPr>
          <w:rFonts w:ascii="Roboto" w:hAnsi="Roboto" w:eastAsia="Roboto" w:cs="Roboto"/>
          <w:b/>
          <w:sz w:val="34"/>
          <w:szCs w:val="34"/>
        </w:rPr>
        <w:t xml:space="preserve"> El sistema de acreditación español cre</w:t>
      </w:r>
      <w:r w:rsidR="00D36A81">
        <w:rPr>
          <w:rFonts w:ascii="Roboto" w:hAnsi="Roboto" w:eastAsia="Roboto" w:cs="Roboto"/>
          <w:b/>
          <w:sz w:val="34"/>
          <w:szCs w:val="34"/>
        </w:rPr>
        <w:t>ce</w:t>
      </w:r>
      <w:r>
        <w:rPr>
          <w:rFonts w:ascii="Roboto" w:hAnsi="Roboto" w:eastAsia="Roboto" w:cs="Roboto"/>
          <w:b/>
          <w:sz w:val="34"/>
          <w:szCs w:val="34"/>
        </w:rPr>
        <w:t xml:space="preserve"> un 2% en 2024, reforzando la infraestructura de la evaluación de la conformidad acreditada en nuevos sectores </w:t>
      </w:r>
    </w:p>
    <w:p w:rsidR="00522134" w:rsidRDefault="00522134" w14:paraId="161F354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center"/>
        <w:rPr>
          <w:rFonts w:ascii="Roboto" w:hAnsi="Roboto" w:eastAsia="Roboto" w:cs="Roboto"/>
        </w:rPr>
      </w:pPr>
    </w:p>
    <w:p w:rsidR="00522134" w:rsidRDefault="00000000" w14:paraId="161F3546" w14:textId="77777777">
      <w:pPr>
        <w:numPr>
          <w:ilvl w:val="0"/>
          <w:numId w:val="2"/>
        </w:numPr>
        <w:spacing w:line="276" w:lineRule="auto"/>
        <w:jc w:val="both"/>
        <w:rPr>
          <w:rFonts w:ascii="Roboto" w:hAnsi="Roboto" w:eastAsia="Roboto" w:cs="Roboto"/>
          <w:b/>
          <w:sz w:val="20"/>
          <w:szCs w:val="20"/>
        </w:rPr>
      </w:pPr>
      <w:r>
        <w:rPr>
          <w:rFonts w:ascii="Roboto" w:hAnsi="Roboto" w:eastAsia="Roboto" w:cs="Roboto"/>
          <w:b/>
          <w:sz w:val="20"/>
          <w:szCs w:val="20"/>
        </w:rPr>
        <w:t xml:space="preserve">El sistema de acreditación español superó, a finales del año pasado, las 2.400 acreditaciones, abarcando la práctica totalidad de los sectores, y despuntando en áreas como las TIC, ciberseguridad, sostenibilidad, eficiencia energética o economía circular. </w:t>
      </w:r>
    </w:p>
    <w:p w:rsidR="00522134" w:rsidRDefault="00522134" w14:paraId="161F3547"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b/>
          <w:sz w:val="22"/>
          <w:szCs w:val="22"/>
        </w:rPr>
      </w:pPr>
    </w:p>
    <w:p w:rsidRPr="00B22AF1" w:rsidR="00522134" w:rsidP="00B22AF1" w:rsidRDefault="00000000" w14:paraId="161F3548" w14:textId="3ACD167C">
      <w:pPr>
        <w:numPr>
          <w:ilvl w:val="0"/>
          <w:numId w:val="2"/>
        </w:numPr>
        <w:spacing w:line="276" w:lineRule="auto"/>
        <w:jc w:val="both"/>
        <w:rPr>
          <w:rFonts w:ascii="Roboto" w:hAnsi="Roboto" w:eastAsia="Roboto" w:cs="Roboto"/>
          <w:b/>
          <w:sz w:val="20"/>
          <w:szCs w:val="20"/>
        </w:rPr>
      </w:pPr>
      <w:r>
        <w:rPr>
          <w:rFonts w:ascii="Roboto" w:hAnsi="Roboto" w:eastAsia="Roboto" w:cs="Roboto"/>
          <w:b/>
          <w:sz w:val="20"/>
          <w:szCs w:val="20"/>
        </w:rPr>
        <w:t>La acreditación aporta seguridad y confianza en el adecuado despliegue de las políticas públicas y apoya los procesos de simplificación administrativa, se destacó durante la presentación de la Memoria de Actividad del último año</w:t>
      </w:r>
      <w:r w:rsidR="00B22AF1">
        <w:rPr>
          <w:rFonts w:ascii="Roboto" w:hAnsi="Roboto" w:eastAsia="Roboto" w:cs="Roboto"/>
          <w:b/>
          <w:sz w:val="20"/>
          <w:szCs w:val="20"/>
        </w:rPr>
        <w:t>.</w:t>
      </w:r>
      <w:r>
        <w:rPr>
          <w:rFonts w:ascii="Roboto" w:hAnsi="Roboto" w:eastAsia="Roboto" w:cs="Roboto"/>
          <w:b/>
          <w:sz w:val="20"/>
          <w:szCs w:val="20"/>
        </w:rPr>
        <w:t xml:space="preserve"> </w:t>
      </w:r>
    </w:p>
    <w:p w:rsidR="00522134" w:rsidRDefault="00522134" w14:paraId="161F3549" w14:textId="77777777">
      <w:pPr>
        <w:rPr>
          <w:rFonts w:ascii="Roboto" w:hAnsi="Roboto" w:eastAsia="Roboto" w:cs="Roboto"/>
          <w:b/>
          <w:sz w:val="22"/>
          <w:szCs w:val="22"/>
        </w:rPr>
      </w:pPr>
    </w:p>
    <w:p w:rsidR="00522134" w:rsidRDefault="00522134" w14:paraId="161F354A" w14:textId="77777777">
      <w:pPr>
        <w:ind w:left="720"/>
        <w:rPr>
          <w:rFonts w:ascii="Roboto" w:hAnsi="Roboto" w:eastAsia="Roboto" w:cs="Roboto"/>
          <w:b/>
          <w:sz w:val="22"/>
          <w:szCs w:val="22"/>
        </w:rPr>
      </w:pPr>
    </w:p>
    <w:p w:rsidR="00522134" w:rsidP="0AF13713" w:rsidRDefault="00000000" w14:paraId="161F354B" w14:textId="6F4BD4BA">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r w:rsidRPr="0AF13713" w:rsidR="00000000">
        <w:rPr>
          <w:rFonts w:ascii="Roboto" w:hAnsi="Roboto" w:eastAsia="Roboto" w:cs="Roboto"/>
          <w:sz w:val="22"/>
          <w:szCs w:val="22"/>
        </w:rPr>
        <w:t>Madrid, 2</w:t>
      </w:r>
      <w:r w:rsidRPr="0AF13713" w:rsidR="1F03DDD7">
        <w:rPr>
          <w:rFonts w:ascii="Roboto" w:hAnsi="Roboto" w:eastAsia="Roboto" w:cs="Roboto"/>
          <w:sz w:val="22"/>
          <w:szCs w:val="22"/>
        </w:rPr>
        <w:t>4</w:t>
      </w:r>
      <w:r w:rsidRPr="0AF13713" w:rsidR="00000000">
        <w:rPr>
          <w:rFonts w:ascii="Roboto" w:hAnsi="Roboto" w:eastAsia="Roboto" w:cs="Roboto"/>
          <w:sz w:val="22"/>
          <w:szCs w:val="22"/>
        </w:rPr>
        <w:t xml:space="preserve"> de junio de 2025. – </w:t>
      </w:r>
      <w:r w:rsidRPr="0AF13713" w:rsidR="65AD305C">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La </w:t>
      </w:r>
      <w:hyperlink r:id="R0b5d8f8821164171">
        <w:r w:rsidRPr="0AF13713" w:rsidR="65AD305C">
          <w:rPr>
            <w:rStyle w:val="Hyperlink"/>
            <w:rFonts w:ascii="Roboto" w:hAnsi="Roboto" w:eastAsia="Roboto" w:cs="Roboto"/>
            <w:b w:val="0"/>
            <w:bCs w:val="0"/>
            <w:i w:val="0"/>
            <w:iCs w:val="0"/>
            <w:strike w:val="0"/>
            <w:dstrike w:val="0"/>
            <w:noProof w:val="0"/>
            <w:color w:val="1155CC"/>
            <w:sz w:val="22"/>
            <w:szCs w:val="22"/>
            <w:u w:val="none"/>
            <w:lang w:val="es-ES"/>
          </w:rPr>
          <w:t>Entidad Nacional de Acreditación</w:t>
        </w:r>
      </w:hyperlink>
      <w:r w:rsidRPr="0AF13713" w:rsidR="65AD305C">
        <w:rPr>
          <w:rFonts w:ascii="Roboto" w:hAnsi="Roboto" w:eastAsia="Roboto" w:cs="Roboto"/>
          <w:b w:val="0"/>
          <w:bCs w:val="0"/>
          <w:i w:val="0"/>
          <w:iCs w:val="0"/>
          <w:strike w:val="0"/>
          <w:dstrike w:val="0"/>
          <w:noProof w:val="0"/>
          <w:color w:val="333333"/>
          <w:sz w:val="22"/>
          <w:szCs w:val="22"/>
          <w:u w:val="none"/>
          <w:lang w:val="es-ES"/>
        </w:rPr>
        <w:t xml:space="preserve"> </w:t>
      </w:r>
      <w:r w:rsidRPr="0AF13713" w:rsidR="65AD305C">
        <w:rPr>
          <w:rFonts w:ascii="Roboto" w:hAnsi="Roboto" w:eastAsia="Roboto" w:cs="Roboto"/>
          <w:b w:val="0"/>
          <w:bCs w:val="0"/>
          <w:i w:val="0"/>
          <w:iCs w:val="0"/>
          <w:strike w:val="0"/>
          <w:dstrike w:val="0"/>
          <w:noProof w:val="0"/>
          <w:color w:val="000000" w:themeColor="text1" w:themeTint="FF" w:themeShade="FF"/>
          <w:sz w:val="22"/>
          <w:szCs w:val="22"/>
          <w:u w:val="none"/>
          <w:lang w:val="es-ES"/>
        </w:rPr>
        <w:t>ha presentado</w:t>
      </w:r>
      <w:r w:rsidRPr="0AF13713" w:rsidR="00000000">
        <w:rPr>
          <w:rFonts w:ascii="Roboto" w:hAnsi="Roboto" w:eastAsia="Roboto" w:cs="Roboto"/>
          <w:sz w:val="22"/>
          <w:szCs w:val="22"/>
        </w:rPr>
        <w:t xml:space="preserve"> su </w:t>
      </w:r>
      <w:hyperlink r:id="Rc245d0bca88b4cc0">
        <w:r w:rsidRPr="0AF13713" w:rsidR="00000000">
          <w:rPr>
            <w:rFonts w:ascii="Roboto" w:hAnsi="Roboto" w:eastAsia="Roboto" w:cs="Roboto"/>
            <w:sz w:val="22"/>
            <w:szCs w:val="22"/>
            <w:u w:val="single"/>
          </w:rPr>
          <w:t>Memoria de Actividad 2024</w:t>
        </w:r>
      </w:hyperlink>
      <w:r w:rsidRPr="0AF13713" w:rsidR="00000000">
        <w:rPr>
          <w:rFonts w:ascii="Roboto" w:hAnsi="Roboto" w:eastAsia="Roboto" w:cs="Roboto"/>
          <w:sz w:val="22"/>
          <w:szCs w:val="22"/>
        </w:rPr>
        <w:t xml:space="preserve"> durante la reunión de su Asamblea General, en la que </w:t>
      </w:r>
      <w:r w:rsidRPr="0AF13713" w:rsidR="00000000">
        <w:rPr>
          <w:rFonts w:ascii="Roboto" w:hAnsi="Roboto" w:eastAsia="Roboto" w:cs="Roboto"/>
          <w:b w:val="1"/>
          <w:bCs w:val="1"/>
          <w:sz w:val="22"/>
          <w:szCs w:val="22"/>
        </w:rPr>
        <w:t>José Manuel Prieto, presidente de la entidad</w:t>
      </w:r>
      <w:r w:rsidRPr="0AF13713" w:rsidR="00000000">
        <w:rPr>
          <w:rFonts w:ascii="Roboto" w:hAnsi="Roboto" w:eastAsia="Roboto" w:cs="Roboto"/>
          <w:sz w:val="22"/>
          <w:szCs w:val="22"/>
        </w:rPr>
        <w:t>, ha destacado el impacto de la infraestructura de la calidad y, en concreto de la acreditación, como “herramienta fundamental para los mercados, favoreciendo un marco de actuación fiable, que se traduce en una mejora de la eficiencia y la competitividad de las empresas”.</w:t>
      </w:r>
    </w:p>
    <w:p w:rsidR="00522134" w:rsidRDefault="00522134" w14:paraId="161F354C"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522134" w:rsidP="0AF13713" w:rsidRDefault="00000000" w14:paraId="161F354E"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val="1"/>
          <w:bCs w:val="1"/>
          <w:color w:val="auto"/>
          <w:sz w:val="22"/>
          <w:szCs w:val="22"/>
        </w:rPr>
      </w:pPr>
      <w:r w:rsidRPr="0AF13713" w:rsidR="00000000">
        <w:rPr>
          <w:rFonts w:ascii="Roboto" w:hAnsi="Roboto" w:eastAsia="Roboto" w:cs="Roboto"/>
          <w:color w:val="auto"/>
          <w:sz w:val="22"/>
          <w:szCs w:val="22"/>
        </w:rPr>
        <w:t xml:space="preserve">Por su parte, </w:t>
      </w:r>
      <w:r w:rsidRPr="0AF13713" w:rsidR="00000000">
        <w:rPr>
          <w:rFonts w:ascii="Roboto" w:hAnsi="Roboto" w:eastAsia="Roboto" w:cs="Roboto"/>
          <w:b w:val="1"/>
          <w:bCs w:val="1"/>
          <w:color w:val="auto"/>
          <w:sz w:val="22"/>
          <w:szCs w:val="22"/>
        </w:rPr>
        <w:t>Beatriz Rivera, directora general de ENAC,</w:t>
      </w:r>
      <w:r w:rsidRPr="0AF13713" w:rsidR="00000000">
        <w:rPr>
          <w:rFonts w:ascii="Roboto" w:hAnsi="Roboto" w:eastAsia="Roboto" w:cs="Roboto"/>
          <w:color w:val="auto"/>
          <w:sz w:val="22"/>
          <w:szCs w:val="22"/>
        </w:rPr>
        <w:t xml:space="preserve"> informó de que el sistema de acreditación español, a finales de 2024, </w:t>
      </w:r>
      <w:r w:rsidRPr="0AF13713" w:rsidR="00000000">
        <w:rPr>
          <w:rFonts w:ascii="Roboto" w:hAnsi="Roboto" w:eastAsia="Roboto" w:cs="Roboto"/>
          <w:b w:val="1"/>
          <w:bCs w:val="1"/>
          <w:color w:val="auto"/>
          <w:sz w:val="22"/>
          <w:szCs w:val="22"/>
        </w:rPr>
        <w:t xml:space="preserve">superaba las 2.400 acreditaciones, </w:t>
      </w:r>
      <w:r w:rsidRPr="0AF13713" w:rsidR="00000000">
        <w:rPr>
          <w:rFonts w:ascii="Roboto" w:hAnsi="Roboto" w:eastAsia="Roboto" w:cs="Roboto"/>
          <w:color w:val="auto"/>
          <w:sz w:val="22"/>
          <w:szCs w:val="22"/>
        </w:rPr>
        <w:t xml:space="preserve">entre las que se incluyen un total de 940 laboratorios de ensayo y 158 de calibración, 92 laboratorios clínicos y otros servicios diagnósticos, 454 entidades de inspección y 262 entidades de certificación; </w:t>
      </w:r>
      <w:r w:rsidRPr="0AF13713" w:rsidR="00000000">
        <w:rPr>
          <w:rFonts w:ascii="Roboto" w:hAnsi="Roboto" w:eastAsia="Roboto" w:cs="Roboto"/>
          <w:b w:val="1"/>
          <w:bCs w:val="1"/>
          <w:color w:val="auto"/>
          <w:sz w:val="22"/>
          <w:szCs w:val="22"/>
        </w:rPr>
        <w:t>abarcando la práctica totalidad de los sectores, lo que representa un crecimiento del 2% respecto al año anterior</w:t>
      </w:r>
      <w:r w:rsidRPr="0AF13713" w:rsidR="00000000">
        <w:rPr>
          <w:rFonts w:ascii="Roboto" w:hAnsi="Roboto" w:eastAsia="Roboto" w:cs="Roboto"/>
          <w:color w:val="auto"/>
          <w:sz w:val="22"/>
          <w:szCs w:val="22"/>
        </w:rPr>
        <w:t>, y mostrando incrementos en la práctica totalidad de los ámbitos de la economía española, despuntando en áreas como las TIC, ciberseguridad, sostenibilidad, eficiencia energética o economía circular</w:t>
      </w:r>
      <w:r w:rsidRPr="0AF13713" w:rsidR="00000000">
        <w:rPr>
          <w:rFonts w:ascii="Roboto" w:hAnsi="Roboto" w:eastAsia="Roboto" w:cs="Roboto"/>
          <w:b w:val="1"/>
          <w:bCs w:val="1"/>
          <w:color w:val="auto"/>
          <w:sz w:val="22"/>
          <w:szCs w:val="22"/>
        </w:rPr>
        <w:t xml:space="preserve">. </w:t>
      </w:r>
    </w:p>
    <w:p w:rsidR="00522134" w:rsidRDefault="00000000" w14:paraId="161F354F"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sz w:val="22"/>
          <w:szCs w:val="22"/>
        </w:rPr>
      </w:pPr>
      <w:r>
        <w:rPr>
          <w:rFonts w:ascii="Roboto" w:hAnsi="Roboto" w:eastAsia="Roboto" w:cs="Roboto"/>
          <w:sz w:val="22"/>
          <w:szCs w:val="22"/>
        </w:rPr>
        <w:t xml:space="preserve">Además, ha subrayado: “La acreditación de ENAC ha seguido aportando </w:t>
      </w:r>
      <w:r>
        <w:rPr>
          <w:rFonts w:ascii="Roboto" w:hAnsi="Roboto" w:eastAsia="Roboto" w:cs="Roboto"/>
          <w:b/>
          <w:sz w:val="22"/>
          <w:szCs w:val="22"/>
        </w:rPr>
        <w:t>confianza en los diferentes ámbitos y etapas de los servicios diagnósticos, reflejando un crecimiento del 18% en la actividad.</w:t>
      </w:r>
      <w:r>
        <w:rPr>
          <w:rFonts w:ascii="Roboto" w:hAnsi="Roboto" w:eastAsia="Roboto" w:cs="Roboto"/>
          <w:sz w:val="22"/>
          <w:szCs w:val="22"/>
        </w:rPr>
        <w:t xml:space="preserve"> Esto demuestra el creciente respaldo del sector sanitario hacia la acreditación como medio para que tanto sus profesionales como las organizaciones a las que pertenecen cuenten con servicios del mayor rigor técnico”.</w:t>
      </w:r>
    </w:p>
    <w:p w:rsidR="00522134" w:rsidRDefault="00522134" w14:paraId="161F3550"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color w:val="333333"/>
          <w:sz w:val="22"/>
          <w:szCs w:val="22"/>
        </w:rPr>
      </w:pPr>
    </w:p>
    <w:p w:rsidR="00522134" w:rsidRDefault="00522134" w14:paraId="161F3551"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color w:val="333333"/>
          <w:sz w:val="22"/>
          <w:szCs w:val="22"/>
        </w:rPr>
      </w:pPr>
    </w:p>
    <w:p w:rsidR="00522134" w:rsidRDefault="00522134" w14:paraId="161F3552"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color w:val="333333"/>
          <w:sz w:val="22"/>
          <w:szCs w:val="22"/>
        </w:rPr>
      </w:pPr>
    </w:p>
    <w:p w:rsidR="00522134" w:rsidRDefault="00522134" w14:paraId="161F3553"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color w:val="333333"/>
          <w:sz w:val="22"/>
          <w:szCs w:val="22"/>
        </w:rPr>
      </w:pPr>
    </w:p>
    <w:p w:rsidR="00522134" w:rsidRDefault="00000000" w14:paraId="161F3554" w14:textId="77777777">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sz w:val="22"/>
          <w:szCs w:val="22"/>
        </w:rPr>
      </w:pPr>
      <w:r>
        <w:rPr>
          <w:rFonts w:ascii="Roboto" w:hAnsi="Roboto" w:eastAsia="Roboto" w:cs="Roboto"/>
          <w:sz w:val="22"/>
          <w:szCs w:val="22"/>
        </w:rPr>
        <w:t xml:space="preserve">“Por otra parte”, ha añadido, “hemos iniciado nuevas actividades como la acreditación de la verificación del sistema de certificados de ahorro energético y del principio de no causar un perjuicio significativo al medioambiente (DNSH) </w:t>
      </w:r>
      <w:r>
        <w:rPr>
          <w:rFonts w:ascii="Roboto" w:hAnsi="Roboto" w:eastAsia="Roboto" w:cs="Roboto"/>
          <w:b/>
          <w:sz w:val="22"/>
          <w:szCs w:val="22"/>
        </w:rPr>
        <w:t>basadas en la norma UNE-EN ISO/IEC 17029, que han visto un incremento de esta actividad de un 54%”</w:t>
      </w:r>
      <w:r>
        <w:rPr>
          <w:rFonts w:ascii="Roboto" w:hAnsi="Roboto" w:eastAsia="Roboto" w:cs="Roboto"/>
          <w:sz w:val="22"/>
          <w:szCs w:val="22"/>
        </w:rPr>
        <w:t>.</w:t>
      </w:r>
    </w:p>
    <w:p w:rsidR="00522134" w:rsidRDefault="00000000" w14:paraId="161F3555" w14:textId="77777777">
      <w:pPr>
        <w:rPr>
          <w:rFonts w:ascii="Roboto" w:hAnsi="Roboto" w:eastAsia="Roboto" w:cs="Roboto"/>
          <w:b/>
          <w:sz w:val="22"/>
          <w:szCs w:val="22"/>
        </w:rPr>
      </w:pPr>
      <w:r>
        <w:rPr>
          <w:rFonts w:ascii="Roboto" w:hAnsi="Roboto" w:eastAsia="Roboto" w:cs="Roboto"/>
          <w:b/>
          <w:sz w:val="22"/>
          <w:szCs w:val="22"/>
        </w:rPr>
        <w:t>La acreditación, una herramienta al servicio del regulador</w:t>
      </w:r>
    </w:p>
    <w:p w:rsidR="00522134" w:rsidRDefault="00522134" w14:paraId="161F3556" w14:textId="77777777">
      <w:pPr>
        <w:rPr>
          <w:rFonts w:ascii="Roboto" w:hAnsi="Roboto" w:eastAsia="Roboto" w:cs="Roboto"/>
          <w:b/>
          <w:sz w:val="22"/>
          <w:szCs w:val="22"/>
        </w:rPr>
      </w:pPr>
    </w:p>
    <w:p w:rsidR="00522134" w:rsidRDefault="00000000" w14:paraId="161F3557" w14:textId="77777777">
      <w:pPr>
        <w:jc w:val="both"/>
        <w:rPr>
          <w:rFonts w:ascii="Roboto" w:hAnsi="Roboto" w:eastAsia="Roboto" w:cs="Roboto"/>
          <w:sz w:val="22"/>
          <w:szCs w:val="22"/>
        </w:rPr>
      </w:pPr>
      <w:r>
        <w:rPr>
          <w:rFonts w:ascii="Roboto" w:hAnsi="Roboto" w:eastAsia="Roboto" w:cs="Roboto"/>
          <w:sz w:val="22"/>
          <w:szCs w:val="22"/>
        </w:rPr>
        <w:t xml:space="preserve">En el marco regulatorio, Prieto ha resaltado “la continua integración de la acreditación en la reglamentación, </w:t>
      </w:r>
      <w:r>
        <w:rPr>
          <w:rFonts w:ascii="Roboto" w:hAnsi="Roboto" w:eastAsia="Roboto" w:cs="Roboto"/>
          <w:b/>
          <w:sz w:val="22"/>
          <w:szCs w:val="22"/>
        </w:rPr>
        <w:t>con más de 350 disposiciones legislativas europeas y nacionales incorporan requisitos de acreditación, aporta seguridad y confianza en el adecuado despliegue de las políticas públicas y apoya los procesos de simplificación administrativa,</w:t>
      </w:r>
      <w:r>
        <w:rPr>
          <w:rFonts w:ascii="Roboto" w:hAnsi="Roboto" w:eastAsia="Roboto" w:cs="Roboto"/>
          <w:sz w:val="22"/>
          <w:szCs w:val="22"/>
        </w:rPr>
        <w:t xml:space="preserve"> lo que la convierte en una herramienta muy valiosa para las Administraciones Públicas”.</w:t>
      </w:r>
    </w:p>
    <w:p w:rsidR="00522134" w:rsidRDefault="00522134" w14:paraId="161F3558" w14:textId="77777777">
      <w:pPr>
        <w:rPr>
          <w:rFonts w:ascii="Roboto" w:hAnsi="Roboto" w:eastAsia="Roboto" w:cs="Roboto"/>
          <w:sz w:val="22"/>
          <w:szCs w:val="22"/>
        </w:rPr>
      </w:pPr>
    </w:p>
    <w:p w:rsidR="0ACB3919" w:rsidP="0AF13713" w:rsidRDefault="0ACB3919" w14:paraId="04768A64" w14:textId="008E9BF7">
      <w:pPr>
        <w:spacing w:before="0" w:beforeAutospacing="off" w:after="0" w:afterAutospacing="off"/>
        <w:jc w:val="both"/>
      </w:pPr>
      <w:r w:rsidRPr="0AF13713" w:rsidR="0ACB3919">
        <w:rPr>
          <w:rFonts w:ascii="Roboto" w:hAnsi="Roboto" w:eastAsia="Roboto" w:cs="Roboto"/>
          <w:b w:val="0"/>
          <w:bCs w:val="0"/>
          <w:i w:val="0"/>
          <w:iCs w:val="0"/>
          <w:strike w:val="0"/>
          <w:dstrike w:val="0"/>
          <w:noProof w:val="0"/>
          <w:color w:val="000000" w:themeColor="text1" w:themeTint="FF" w:themeShade="FF"/>
          <w:sz w:val="22"/>
          <w:szCs w:val="22"/>
          <w:u w:val="none"/>
          <w:lang w:val="es-ES"/>
        </w:rPr>
        <w:t>Además, destacó que “ENAC colabora de manera habitual y continua con las diferentes administraciones públicas, tanto a nivel nacional como autonómico y local, como los Ministerios de Industria y Turismo; Transición Ecológica y el Reto Demográfico; Consumo o Defensa; gobiernos de las Comunidades Autónomas y otros organismos, como la Agencia Estatal de Seguridad Ferroviaria, la Agencia Española del Medicamento y Productos Sanitarios o la Agencia Estatal de Administración Tributaria (AEAT), para desarrollar y aplicar nuevos esquemas de acreditación que respondan a las necesidades actuales y futuras de nuestro país”.</w:t>
      </w:r>
    </w:p>
    <w:p w:rsidR="0AF13713" w:rsidP="0AF13713" w:rsidRDefault="0AF13713" w14:paraId="4F8D9DC6" w14:textId="3B7D43E9">
      <w:pPr>
        <w:jc w:val="both"/>
      </w:pPr>
    </w:p>
    <w:p w:rsidR="00522134" w:rsidRDefault="00000000" w14:paraId="161F355B" w14:textId="77777777">
      <w:pPr>
        <w:jc w:val="both"/>
        <w:rPr>
          <w:rFonts w:ascii="Roboto" w:hAnsi="Roboto" w:eastAsia="Roboto" w:cs="Roboto"/>
          <w:sz w:val="22"/>
          <w:szCs w:val="22"/>
        </w:rPr>
      </w:pPr>
      <w:r>
        <w:rPr>
          <w:rFonts w:ascii="Roboto" w:hAnsi="Roboto" w:eastAsia="Roboto" w:cs="Roboto"/>
          <w:sz w:val="22"/>
          <w:szCs w:val="22"/>
        </w:rPr>
        <w:t xml:space="preserve">Asimismo, a nivel europeo, ha remarcado la implicación de ENAC en desarrollos legislativos tales como el </w:t>
      </w:r>
      <w:r>
        <w:rPr>
          <w:rFonts w:ascii="Roboto" w:hAnsi="Roboto" w:eastAsia="Roboto" w:cs="Roboto"/>
          <w:b/>
          <w:sz w:val="22"/>
          <w:szCs w:val="22"/>
        </w:rPr>
        <w:t>Esquema Europeo de Ciberseguridad o la Directiva de Green Claims, que actualmente se encuentra en elaboración</w:t>
      </w:r>
      <w:r>
        <w:rPr>
          <w:rFonts w:ascii="Roboto" w:hAnsi="Roboto" w:eastAsia="Roboto" w:cs="Roboto"/>
          <w:sz w:val="22"/>
          <w:szCs w:val="22"/>
        </w:rPr>
        <w:t>”.</w:t>
      </w:r>
    </w:p>
    <w:p w:rsidR="00522134" w:rsidRDefault="00522134" w14:paraId="161F355C" w14:textId="77777777">
      <w:pPr>
        <w:jc w:val="both"/>
        <w:rPr>
          <w:rFonts w:ascii="Roboto" w:hAnsi="Roboto" w:eastAsia="Roboto" w:cs="Roboto"/>
          <w:sz w:val="22"/>
          <w:szCs w:val="22"/>
        </w:rPr>
      </w:pPr>
    </w:p>
    <w:p w:rsidR="00522134" w:rsidRDefault="00000000" w14:paraId="161F355D" w14:textId="77777777">
      <w:pPr>
        <w:jc w:val="both"/>
        <w:rPr>
          <w:rFonts w:ascii="Roboto" w:hAnsi="Roboto" w:eastAsia="Roboto" w:cs="Roboto"/>
          <w:b/>
          <w:sz w:val="22"/>
          <w:szCs w:val="22"/>
        </w:rPr>
      </w:pPr>
      <w:r>
        <w:rPr>
          <w:rFonts w:ascii="Roboto" w:hAnsi="Roboto" w:eastAsia="Roboto" w:cs="Roboto"/>
          <w:b/>
          <w:sz w:val="22"/>
          <w:szCs w:val="22"/>
        </w:rPr>
        <w:t>Reconocimiento internacional de la acreditación y ENAC</w:t>
      </w:r>
    </w:p>
    <w:p w:rsidR="00522134" w:rsidRDefault="00522134" w14:paraId="161F355E" w14:textId="77777777">
      <w:pPr>
        <w:jc w:val="both"/>
        <w:rPr>
          <w:rFonts w:ascii="Roboto" w:hAnsi="Roboto" w:eastAsia="Roboto" w:cs="Roboto"/>
          <w:sz w:val="22"/>
          <w:szCs w:val="22"/>
        </w:rPr>
      </w:pPr>
    </w:p>
    <w:p w:rsidR="00522134" w:rsidRDefault="00000000" w14:paraId="161F355F" w14:textId="77777777">
      <w:pPr>
        <w:jc w:val="both"/>
        <w:rPr>
          <w:rFonts w:ascii="Roboto" w:hAnsi="Roboto" w:eastAsia="Roboto" w:cs="Roboto"/>
          <w:sz w:val="22"/>
          <w:szCs w:val="22"/>
        </w:rPr>
      </w:pPr>
      <w:r>
        <w:rPr>
          <w:rFonts w:ascii="Roboto" w:hAnsi="Roboto" w:eastAsia="Roboto" w:cs="Roboto"/>
          <w:sz w:val="22"/>
          <w:szCs w:val="22"/>
        </w:rPr>
        <w:t xml:space="preserve">A nivel internacional, Beatriz Rivera ha vuelto a insistir en el valor de la acreditación de ENAC como elemento clave a la hora de facilitar la libre circulación de mercancías en el mercado interior y para </w:t>
      </w:r>
      <w:r>
        <w:rPr>
          <w:rFonts w:ascii="Roboto" w:hAnsi="Roboto" w:eastAsia="Roboto" w:cs="Roboto"/>
          <w:b/>
          <w:sz w:val="22"/>
          <w:szCs w:val="22"/>
        </w:rPr>
        <w:t>reducir las barreras técnicas al comercio, favoreciendo el acceso de las empresas españolas a mercados exteriores</w:t>
      </w:r>
      <w:r>
        <w:rPr>
          <w:rFonts w:ascii="Roboto" w:hAnsi="Roboto" w:eastAsia="Roboto" w:cs="Roboto"/>
          <w:sz w:val="22"/>
          <w:szCs w:val="22"/>
        </w:rPr>
        <w:t xml:space="preserve"> siendo un componente crucial en la aplicación de acuerdos internacionales.</w:t>
      </w:r>
    </w:p>
    <w:p w:rsidR="00522134" w:rsidRDefault="00522134" w14:paraId="161F3560" w14:textId="77777777">
      <w:pPr>
        <w:jc w:val="both"/>
        <w:rPr>
          <w:rFonts w:ascii="Roboto" w:hAnsi="Roboto" w:eastAsia="Roboto" w:cs="Roboto"/>
          <w:sz w:val="22"/>
          <w:szCs w:val="22"/>
        </w:rPr>
      </w:pPr>
    </w:p>
    <w:p w:rsidR="00522134" w:rsidRDefault="00000000" w14:paraId="161F3561" w14:textId="77777777">
      <w:pPr>
        <w:jc w:val="both"/>
        <w:rPr>
          <w:rFonts w:ascii="Roboto" w:hAnsi="Roboto" w:eastAsia="Roboto" w:cs="Roboto"/>
          <w:b/>
          <w:sz w:val="22"/>
          <w:szCs w:val="22"/>
        </w:rPr>
      </w:pPr>
      <w:r>
        <w:rPr>
          <w:rFonts w:ascii="Roboto" w:hAnsi="Roboto" w:eastAsia="Roboto" w:cs="Roboto"/>
          <w:sz w:val="22"/>
          <w:szCs w:val="22"/>
        </w:rPr>
        <w:t xml:space="preserve">La acreditación de ENAC, gracias a la condición de firmante de la entidad de todos los acuerdos multilaterales de reconocimiento de la acreditación, </w:t>
      </w:r>
      <w:r>
        <w:rPr>
          <w:rFonts w:ascii="Roboto" w:hAnsi="Roboto" w:eastAsia="Roboto" w:cs="Roboto"/>
          <w:b/>
          <w:sz w:val="22"/>
          <w:szCs w:val="22"/>
        </w:rPr>
        <w:t>permite que los informes y certificados emitidos por las entidades acreditadas sean reconocidos en más de 120 países.</w:t>
      </w:r>
    </w:p>
    <w:p w:rsidR="00522134" w:rsidRDefault="00522134" w14:paraId="161F3562" w14:textId="77777777">
      <w:pPr>
        <w:jc w:val="both"/>
        <w:rPr>
          <w:rFonts w:ascii="Roboto" w:hAnsi="Roboto" w:eastAsia="Roboto" w:cs="Roboto"/>
          <w:sz w:val="22"/>
          <w:szCs w:val="22"/>
        </w:rPr>
      </w:pPr>
    </w:p>
    <w:p w:rsidR="00522134" w:rsidRDefault="00000000" w14:paraId="161F3563" w14:textId="77777777">
      <w:pPr>
        <w:jc w:val="both"/>
        <w:rPr>
          <w:rFonts w:ascii="Roboto" w:hAnsi="Roboto" w:eastAsia="Roboto" w:cs="Roboto"/>
          <w:b/>
          <w:sz w:val="22"/>
          <w:szCs w:val="22"/>
        </w:rPr>
      </w:pPr>
      <w:r>
        <w:rPr>
          <w:rFonts w:ascii="Roboto" w:hAnsi="Roboto" w:eastAsia="Roboto" w:cs="Roboto"/>
          <w:sz w:val="22"/>
          <w:szCs w:val="22"/>
        </w:rPr>
        <w:t xml:space="preserve">Puedes consultar la memoria completa de ENAC en el </w:t>
      </w:r>
      <w:hyperlink r:id="rId13">
        <w:r>
          <w:rPr>
            <w:rFonts w:ascii="Roboto" w:hAnsi="Roboto" w:eastAsia="Roboto" w:cs="Roboto"/>
            <w:b/>
            <w:sz w:val="22"/>
            <w:szCs w:val="22"/>
            <w:u w:val="single"/>
          </w:rPr>
          <w:t>siguiente enlace</w:t>
        </w:r>
      </w:hyperlink>
      <w:r>
        <w:rPr>
          <w:rFonts w:ascii="Roboto" w:hAnsi="Roboto" w:eastAsia="Roboto" w:cs="Roboto"/>
          <w:b/>
          <w:sz w:val="22"/>
          <w:szCs w:val="22"/>
        </w:rPr>
        <w:t>.</w:t>
      </w:r>
    </w:p>
    <w:p w:rsidR="00522134" w:rsidRDefault="00522134" w14:paraId="161F3564"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b/>
          <w:sz w:val="22"/>
          <w:szCs w:val="22"/>
        </w:rPr>
      </w:pPr>
    </w:p>
    <w:p w:rsidR="00522134" w:rsidRDefault="00000000" w14:paraId="161F356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522134" w:rsidRDefault="00522134" w14:paraId="161F356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w:rsidR="00522134" w:rsidRDefault="00000000" w14:paraId="161F356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w:t>
      </w:r>
      <w:r>
        <w:rPr>
          <w:rFonts w:ascii="Roboto" w:hAnsi="Roboto" w:eastAsia="Roboto" w:cs="Roboto"/>
          <w:sz w:val="22"/>
          <w:szCs w:val="22"/>
        </w:rPr>
        <w:t xml:space="preserve">del Reglamento (CE) nº765/2008 del Parlamento Europeo que regula el funcionamiento de la acreditación en Europa. </w:t>
      </w:r>
    </w:p>
    <w:p w:rsidR="00522134" w:rsidRDefault="00000000" w14:paraId="161F356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1F497D"/>
          <w:sz w:val="22"/>
          <w:szCs w:val="22"/>
        </w:rPr>
      </w:pPr>
      <w:r>
        <w:rPr>
          <w:rFonts w:ascii="Roboto" w:hAnsi="Roboto" w:eastAsia="Roboto" w:cs="Roboto"/>
          <w:color w:val="1F497D"/>
          <w:sz w:val="22"/>
          <w:szCs w:val="22"/>
        </w:rPr>
        <w:t xml:space="preserve">  </w:t>
      </w:r>
    </w:p>
    <w:p w:rsidR="00522134" w:rsidRDefault="00522134" w14:paraId="161F356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522134" w:rsidRDefault="00522134" w14:paraId="161F356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522134" w:rsidRDefault="00522134" w14:paraId="161F356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522134" w:rsidRDefault="00522134" w14:paraId="161F356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522134" w:rsidRDefault="00000000" w14:paraId="161F356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522134" w:rsidRDefault="00000000" w14:paraId="161F356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522134" w:rsidRDefault="00000000" w14:paraId="161F356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522134" w:rsidRDefault="00000000" w14:paraId="161F357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522134" w:rsidRDefault="00000000" w14:paraId="161F3571" w14:textId="77777777">
      <w:pPr>
        <w:pBdr>
          <w:bottom w:val="single" w:color="000000" w:sz="12" w:space="1"/>
        </w:pBdr>
        <w:jc w:val="both"/>
        <w:rPr>
          <w:rFonts w:ascii="Roboto" w:hAnsi="Roboto" w:eastAsia="Roboto" w:cs="Roboto"/>
          <w:color w:val="E83544"/>
          <w:sz w:val="22"/>
          <w:szCs w:val="22"/>
        </w:rPr>
      </w:pPr>
      <w:hyperlink r:id="rId14">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522134" w:rsidRDefault="00000000" w14:paraId="161F3572" w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w:rsidR="00522134" w:rsidRDefault="00000000" w14:paraId="161F3573"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161F357D" wp14:editId="161F357E">
            <wp:extent cx="319366" cy="319366"/>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161F357F" wp14:editId="161F3580">
            <wp:extent cx="316348" cy="31634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6348" cy="316348"/>
                    </a:xfrm>
                    <a:prstGeom prst="rect">
                      <a:avLst/>
                    </a:prstGeom>
                    <a:ln/>
                  </pic:spPr>
                </pic:pic>
              </a:graphicData>
            </a:graphic>
          </wp:inline>
        </w:drawing>
      </w:r>
    </w:p>
    <w:p w:rsidR="00522134" w:rsidRDefault="00522134" w14:paraId="161F3574" w14:textId="77777777">
      <w:pPr>
        <w:pBdr>
          <w:bottom w:val="single" w:color="000000" w:sz="12" w:space="1"/>
        </w:pBdr>
        <w:jc w:val="both"/>
        <w:rPr>
          <w:rFonts w:ascii="Roboto" w:hAnsi="Roboto" w:eastAsia="Roboto" w:cs="Roboto"/>
          <w:color w:val="E83544"/>
          <w:sz w:val="22"/>
          <w:szCs w:val="22"/>
        </w:rPr>
      </w:pPr>
    </w:p>
    <w:p w:rsidR="00522134" w:rsidRDefault="00522134" w14:paraId="161F3575" w14:textId="77777777">
      <w:pPr>
        <w:jc w:val="both"/>
        <w:rPr>
          <w:rFonts w:ascii="Roboto" w:hAnsi="Roboto" w:eastAsia="Roboto" w:cs="Roboto"/>
          <w:color w:val="E83544"/>
          <w:sz w:val="22"/>
          <w:szCs w:val="22"/>
        </w:rPr>
      </w:pPr>
    </w:p>
    <w:p w:rsidR="00522134" w:rsidRDefault="00000000" w14:paraId="161F3576"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522134" w:rsidRDefault="00000000" w14:paraId="161F3577" w14:textId="77777777">
      <w:pPr>
        <w:jc w:val="both"/>
        <w:rPr>
          <w:rFonts w:ascii="Roboto" w:hAnsi="Roboto" w:eastAsia="Roboto" w:cs="Roboto"/>
          <w:sz w:val="22"/>
          <w:szCs w:val="22"/>
        </w:rPr>
      </w:pPr>
      <w:r>
        <w:rPr>
          <w:rFonts w:ascii="Roboto" w:hAnsi="Roboto" w:eastAsia="Roboto" w:cs="Roboto"/>
          <w:sz w:val="22"/>
          <w:szCs w:val="22"/>
        </w:rPr>
        <w:t>Eva Martín</w:t>
      </w:r>
    </w:p>
    <w:p w:rsidR="00522134" w:rsidRDefault="00000000" w14:paraId="161F3578"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7">
        <w:r>
          <w:rPr>
            <w:rFonts w:ascii="Roboto" w:hAnsi="Roboto" w:eastAsia="Roboto" w:cs="Roboto"/>
            <w:color w:val="E83544"/>
            <w:sz w:val="22"/>
            <w:szCs w:val="22"/>
            <w:u w:val="single"/>
          </w:rPr>
          <w:t>evamc@varenga.es</w:t>
        </w:r>
      </w:hyperlink>
    </w:p>
    <w:p w:rsidR="00522134" w:rsidRDefault="00522134" w14:paraId="161F3579" w14:textId="77777777">
      <w:pPr>
        <w:spacing w:after="200" w:line="276" w:lineRule="auto"/>
        <w:rPr>
          <w:rFonts w:ascii="Roboto" w:hAnsi="Roboto" w:eastAsia="Roboto" w:cs="Roboto"/>
          <w:sz w:val="22"/>
          <w:szCs w:val="22"/>
        </w:rPr>
      </w:pPr>
    </w:p>
    <w:p w:rsidR="00522134" w:rsidRDefault="00522134" w14:paraId="161F357A" w14:textId="77777777">
      <w:pPr>
        <w:rPr>
          <w:rFonts w:ascii="Calibri" w:hAnsi="Calibri" w:eastAsia="Calibri" w:cs="Calibri"/>
          <w:b/>
          <w:sz w:val="22"/>
          <w:szCs w:val="22"/>
          <w:u w:val="single"/>
        </w:rPr>
      </w:pPr>
    </w:p>
    <w:p w:rsidR="00522134" w:rsidRDefault="00522134" w14:paraId="161F357B" w14:textId="77777777">
      <w:pPr>
        <w:jc w:val="both"/>
        <w:rPr>
          <w:rFonts w:ascii="Calibri" w:hAnsi="Calibri" w:eastAsia="Calibri" w:cs="Calibri"/>
          <w:b/>
          <w:sz w:val="22"/>
          <w:szCs w:val="22"/>
          <w:u w:val="single"/>
        </w:rPr>
      </w:pPr>
    </w:p>
    <w:p w:rsidR="00522134" w:rsidRDefault="00522134" w14:paraId="161F357C" w14:textId="77777777">
      <w:pPr>
        <w:pBdr>
          <w:top w:val="nil"/>
          <w:left w:val="nil"/>
          <w:bottom w:val="nil"/>
          <w:right w:val="nil"/>
          <w:between w:val="nil"/>
        </w:pBdr>
        <w:rPr>
          <w:rFonts w:ascii="Calibri" w:hAnsi="Calibri" w:eastAsia="Calibri" w:cs="Calibri"/>
          <w:highlight w:val="white"/>
        </w:rPr>
      </w:pPr>
    </w:p>
    <w:sectPr w:rsidR="00522134">
      <w:headerReference w:type="even" r:id="rId18"/>
      <w:headerReference w:type="default" r:id="rId19"/>
      <w:footerReference w:type="even" r:id="rId20"/>
      <w:footerReference w:type="default" r:id="rId21"/>
      <w:headerReference w:type="first" r:id="rId22"/>
      <w:footerReference w:type="first" r:id="rId23"/>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04A2" w:rsidRDefault="009004A2" w14:paraId="2407320F" w14:textId="77777777">
      <w:r>
        <w:separator/>
      </w:r>
    </w:p>
  </w:endnote>
  <w:endnote w:type="continuationSeparator" w:id="0">
    <w:p w:rsidR="009004A2" w:rsidRDefault="009004A2" w14:paraId="102E75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CA586322-D5E5-40D7-B312-E4AADFCAC686}" r:id="rId1"/>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17B0294D-789F-4808-B05A-986944960D15}" r:id="rId2"/>
    <w:embedBold w:fontKey="{9FF43B42-CBB3-4920-8816-EFBE5B5F4001}" r:id="rId3"/>
  </w:font>
  <w:font w:name="Georgia">
    <w:panose1 w:val="02040502050405020303"/>
    <w:charset w:val="00"/>
    <w:family w:val="roman"/>
    <w:pitch w:val="variable"/>
    <w:sig w:usb0="00000287" w:usb1="00000000" w:usb2="00000000" w:usb3="00000000" w:csb0="0000009F" w:csb1="00000000"/>
    <w:embedRegular w:fontKey="{E993BCA1-E6AB-4EAF-89C4-F7B5963A1FF2}" r:id="rId4"/>
    <w:embedItalic w:fontKey="{7F903C2B-8DA4-4217-AF22-554B6A8E19AA}" r:id="rId5"/>
  </w:font>
  <w:font w:name="Calibri">
    <w:panose1 w:val="020F0502020204030204"/>
    <w:charset w:val="00"/>
    <w:family w:val="swiss"/>
    <w:pitch w:val="variable"/>
    <w:sig w:usb0="E4002EFF" w:usb1="C200247B" w:usb2="00000009" w:usb3="00000000" w:csb0="000001FF" w:csb1="00000000"/>
    <w:embedRegular w:fontKey="{5561153C-02DD-470B-B7A1-56D0FA3FECC1}" r:id="rId6"/>
    <w:embedBold w:fontKey="{407695C2-6B4C-400E-8350-B132A6F0495A}" r:id="rId7"/>
  </w:font>
  <w:font w:name="Cambria">
    <w:panose1 w:val="02040503050406030204"/>
    <w:charset w:val="00"/>
    <w:family w:val="roman"/>
    <w:pitch w:val="variable"/>
    <w:sig w:usb0="E00006FF" w:usb1="420024FF" w:usb2="02000000" w:usb3="00000000" w:csb0="0000019F" w:csb1="00000000"/>
    <w:embedRegular w:fontKey="{2C7BA6E9-0F50-4A3B-8B4A-12DAFD22D2F9}"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2134" w:rsidRDefault="00522134" w14:paraId="161F3585"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2134" w:rsidRDefault="00000000" w14:paraId="161F3586" w14:textId="286BF97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22AF1">
      <w:rPr>
        <w:noProof/>
        <w:color w:val="000000"/>
      </w:rPr>
      <w:t>1</w:t>
    </w:r>
    <w:r>
      <w:rPr>
        <w:color w:val="000000"/>
      </w:rPr>
      <w:fldChar w:fldCharType="end"/>
    </w:r>
  </w:p>
  <w:p w:rsidR="00522134" w:rsidRDefault="00522134" w14:paraId="161F3587"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2134" w:rsidRDefault="00522134" w14:paraId="161F3589"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04A2" w:rsidRDefault="009004A2" w14:paraId="6384833C" w14:textId="77777777">
      <w:r>
        <w:separator/>
      </w:r>
    </w:p>
  </w:footnote>
  <w:footnote w:type="continuationSeparator" w:id="0">
    <w:p w:rsidR="009004A2" w:rsidRDefault="009004A2" w14:paraId="67B712B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2134" w:rsidRDefault="00522134" w14:paraId="161F3581"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22134" w:rsidRDefault="00000000" w14:paraId="161F3582"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161F358A" wp14:editId="161F358B">
          <wp:simplePos x="0" y="0"/>
          <wp:positionH relativeFrom="column">
            <wp:posOffset>4114800</wp:posOffset>
          </wp:positionH>
          <wp:positionV relativeFrom="paragraph">
            <wp:posOffset>-304790</wp:posOffset>
          </wp:positionV>
          <wp:extent cx="1547842" cy="997267"/>
          <wp:effectExtent l="0" t="0" r="0" b="0"/>
          <wp:wrapSquare wrapText="bothSides" distT="114300" distB="11430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522134" w:rsidRDefault="00000000" w14:paraId="161F3583"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522134" w:rsidRDefault="00522134" w14:paraId="161F3584"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2134" w:rsidRDefault="00522134" w14:paraId="161F3588"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72415"/>
    <w:multiLevelType w:val="multilevel"/>
    <w:tmpl w:val="03FC1316"/>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4A49C1"/>
    <w:multiLevelType w:val="multilevel"/>
    <w:tmpl w:val="51C6971E"/>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571643">
    <w:abstractNumId w:val="1"/>
  </w:num>
  <w:num w:numId="2" w16cid:durableId="102413215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134"/>
    <w:rsid w:val="00000000"/>
    <w:rsid w:val="003F679C"/>
    <w:rsid w:val="00522134"/>
    <w:rsid w:val="006E2D43"/>
    <w:rsid w:val="00791FB9"/>
    <w:rsid w:val="009004A2"/>
    <w:rsid w:val="00B22AF1"/>
    <w:rsid w:val="00D36A81"/>
    <w:rsid w:val="00EF24B8"/>
    <w:rsid w:val="0ACB3919"/>
    <w:rsid w:val="0AF13713"/>
    <w:rsid w:val="1F03DDD7"/>
    <w:rsid w:val="33A6DCC2"/>
    <w:rsid w:val="65AD30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F3543"/>
  <w15:docId w15:val="{79F89388-A0DF-4779-828A-5A23B3D1CA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semiHidden/>
    <w:unhideWhenUsed/>
    <w:rsid w:val="00791FB9"/>
    <w:pPr>
      <w:tabs>
        <w:tab w:val="center" w:pos="4252"/>
        <w:tab w:val="right" w:pos="8504"/>
      </w:tabs>
    </w:pPr>
  </w:style>
  <w:style w:type="character" w:styleId="EncabezadoCar" w:customStyle="1">
    <w:name w:val="Encabezado Car"/>
    <w:basedOn w:val="Fuentedeprrafopredeter"/>
    <w:link w:val="Encabezado"/>
    <w:uiPriority w:val="99"/>
    <w:semiHidden/>
    <w:rsid w:val="00791FB9"/>
  </w:style>
  <w:style w:type="paragraph" w:styleId="Piedepgina">
    <w:name w:val="footer"/>
    <w:basedOn w:val="Normal"/>
    <w:link w:val="PiedepginaCar"/>
    <w:uiPriority w:val="99"/>
    <w:semiHidden/>
    <w:unhideWhenUsed/>
    <w:rsid w:val="00791FB9"/>
    <w:pPr>
      <w:tabs>
        <w:tab w:val="center" w:pos="4252"/>
        <w:tab w:val="right" w:pos="8504"/>
      </w:tabs>
    </w:pPr>
  </w:style>
  <w:style w:type="character" w:styleId="PiedepginaCar" w:customStyle="1">
    <w:name w:val="Pie de página Car"/>
    <w:basedOn w:val="Fuentedeprrafopredeter"/>
    <w:link w:val="Piedepgina"/>
    <w:uiPriority w:val="99"/>
    <w:semiHidden/>
    <w:rsid w:val="00791FB9"/>
  </w:style>
  <w:style w:type="character" w:styleId="Hyperlink">
    <w:uiPriority w:val="99"/>
    <w:name w:val="Hyperlink"/>
    <w:basedOn w:val="Fuentedeprrafopredeter"/>
    <w:unhideWhenUsed/>
    <w:rsid w:val="0AF13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nac.es/memoria-2024"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evamc@varenga.e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enac.es" TargetMode="External" Id="rId14" /><Relationship Type="http://schemas.openxmlformats.org/officeDocument/2006/relationships/header" Target="header3.xml" Id="rId22" /><Relationship Type="http://schemas.openxmlformats.org/officeDocument/2006/relationships/hyperlink" Target="https://www.enac.es/" TargetMode="External" Id="R0b5d8f8821164171" /><Relationship Type="http://schemas.openxmlformats.org/officeDocument/2006/relationships/hyperlink" Target="https://www.enac.es/memoria-2024" TargetMode="External" Id="Rc245d0bca88b4cc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xzvuypm7sWJ/L1scd8sXPzgOA==">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C7032520-C6C3-4FC3-BBE7-A96D599E5BF0}">
  <ds:schemaRefs>
    <ds:schemaRef ds:uri="http://schemas.microsoft.com/sharepoint/v3/contenttype/forms"/>
  </ds:schemaRefs>
</ds:datastoreItem>
</file>

<file path=customXml/itemProps2.xml><?xml version="1.0" encoding="utf-8"?>
<ds:datastoreItem xmlns:ds="http://schemas.openxmlformats.org/officeDocument/2006/customXml" ds:itemID="{A072A786-0D2E-4C35-9543-B881EF117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D03F1DE-5188-4E6F-8EA8-B3863E885829}">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Martín</cp:lastModifiedBy>
  <cp:revision>5</cp:revision>
  <dcterms:created xsi:type="dcterms:W3CDTF">2025-06-20T10:02:00Z</dcterms:created>
  <dcterms:modified xsi:type="dcterms:W3CDTF">2025-06-23T08:59:54Z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