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E4EB3" w:rsidRDefault="001E4EB3" w14:paraId="672A6659" wp14:textId="77777777"/>
    <w:p xmlns:wp14="http://schemas.microsoft.com/office/word/2010/wordml" w:rsidR="001E4EB3" w:rsidP="479AF554" w:rsidRDefault="00CB1C34" w14:paraId="59CB1A2F" wp14:textId="77777777">
      <w:pPr>
        <w:jc w:val="center"/>
        <w:rPr>
          <w:rFonts w:ascii="Roboto" w:hAnsi="Roboto" w:eastAsia="Roboto" w:cs="Roboto"/>
          <w:b w:val="1"/>
          <w:bCs w:val="1"/>
          <w:sz w:val="36"/>
          <w:szCs w:val="36"/>
          <w:lang w:val="es-ES"/>
        </w:rPr>
      </w:pPr>
      <w:r w:rsidRPr="479AF554" w:rsidR="00CB1C34">
        <w:rPr>
          <w:rFonts w:ascii="Roboto" w:hAnsi="Roboto" w:eastAsia="Roboto" w:cs="Roboto"/>
          <w:b w:val="1"/>
          <w:bCs w:val="1"/>
          <w:sz w:val="36"/>
          <w:szCs w:val="36"/>
          <w:lang w:val="es-ES"/>
        </w:rPr>
        <w:t xml:space="preserve">ENAC concede la primera acreditación para certificar operadores de grúa móvil autopropulsada a Marlo </w:t>
      </w:r>
      <w:r w:rsidRPr="479AF554" w:rsidR="00CB1C34">
        <w:rPr>
          <w:rFonts w:ascii="Roboto" w:hAnsi="Roboto" w:eastAsia="Roboto" w:cs="Roboto"/>
          <w:b w:val="1"/>
          <w:bCs w:val="1"/>
          <w:sz w:val="36"/>
          <w:szCs w:val="36"/>
          <w:lang w:val="es-ES"/>
        </w:rPr>
        <w:t>Formació</w:t>
      </w:r>
    </w:p>
    <w:p xmlns:wp14="http://schemas.microsoft.com/office/word/2010/wordml" w:rsidR="001E4EB3" w:rsidRDefault="00CB1C34" w14:paraId="29D6B04F" wp14:textId="77777777">
      <w:pPr>
        <w:rPr>
          <w:rFonts w:ascii="Roboto" w:hAnsi="Roboto" w:eastAsia="Roboto" w:cs="Roboto"/>
          <w:b/>
          <w:sz w:val="32"/>
          <w:szCs w:val="32"/>
        </w:rPr>
      </w:pPr>
      <w:r>
        <w:rPr>
          <w:rFonts w:ascii="Roboto" w:hAnsi="Roboto" w:eastAsia="Roboto" w:cs="Roboto"/>
          <w:b/>
          <w:sz w:val="32"/>
          <w:szCs w:val="32"/>
        </w:rPr>
        <w:t xml:space="preserve"> </w:t>
      </w:r>
    </w:p>
    <w:p xmlns:wp14="http://schemas.microsoft.com/office/word/2010/wordml" w:rsidR="001E4EB3" w:rsidP="479AF554" w:rsidRDefault="00CB1C34" w14:paraId="0482F19E" wp14:textId="59A62741">
      <w:pPr>
        <w:numPr>
          <w:ilvl w:val="0"/>
          <w:numId w:val="1"/>
        </w:numPr>
        <w:jc w:val="both"/>
        <w:rPr>
          <w:rFonts w:ascii="Roboto" w:hAnsi="Roboto" w:eastAsia="Roboto" w:cs="Roboto"/>
          <w:b w:val="1"/>
          <w:bCs w:val="1"/>
          <w:sz w:val="20"/>
          <w:szCs w:val="20"/>
          <w:lang w:val="es-ES"/>
        </w:rPr>
      </w:pPr>
      <w:r w:rsidRPr="3E90DAB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La certificación de personas acreditada es una de las vías de admitidas para evidenciar el cumplimiento de los requisitos de competencia del operador de grúas establecidos en </w:t>
      </w:r>
      <w:r w:rsidRPr="3E90DAB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el</w:t>
      </w:r>
      <w:r w:rsidRPr="3E90DAB4" w:rsidR="2B94704A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</w:t>
      </w:r>
      <w:r w:rsidRPr="3E90DAB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Real Decreto 837/2003</w:t>
      </w:r>
    </w:p>
    <w:p xmlns:wp14="http://schemas.microsoft.com/office/word/2010/wordml" w:rsidR="001E4EB3" w:rsidRDefault="00CB1C34" w14:paraId="0A6959E7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b/>
          <w:sz w:val="20"/>
          <w:szCs w:val="20"/>
        </w:rPr>
      </w:pPr>
      <w:r w:rsidRPr="3E90DAB4" w:rsidR="00CB1C34">
        <w:rPr>
          <w:rFonts w:ascii="Roboto" w:hAnsi="Roboto" w:eastAsia="Roboto" w:cs="Roboto"/>
          <w:b w:val="1"/>
          <w:bCs w:val="1"/>
          <w:sz w:val="20"/>
          <w:szCs w:val="20"/>
        </w:rPr>
        <w:t xml:space="preserve"> </w:t>
      </w:r>
    </w:p>
    <w:p w:rsidR="33FA8457" w:rsidP="3E90DAB4" w:rsidRDefault="33FA8457" w14:paraId="4FE5111D" w14:textId="3DAC6472">
      <w:pPr>
        <w:spacing w:before="0" w:beforeAutospacing="off" w:after="0" w:afterAutospacing="off"/>
        <w:jc w:val="both"/>
      </w:pPr>
      <w:r w:rsidRPr="3E90DAB4" w:rsidR="33FA8457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Madrid, 29 de julio de 2025.- La </w:t>
      </w:r>
      <w:hyperlink r:id="R6ccf8095d41e442a">
        <w:r w:rsidRPr="3E90DAB4" w:rsidR="33FA8457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2"/>
            <w:szCs w:val="22"/>
            <w:u w:val="none"/>
            <w:lang w:val="es-ES"/>
          </w:rPr>
          <w:t>Entidad Nacional de Acreditación</w:t>
        </w:r>
      </w:hyperlink>
      <w:r w:rsidRPr="3E90DAB4" w:rsidR="33FA8457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(ENAC) ha concedido a Marlo </w:t>
      </w:r>
      <w:r w:rsidRPr="3E90DAB4" w:rsidR="33FA8457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Formació</w:t>
      </w:r>
      <w:r w:rsidRPr="3E90DAB4" w:rsidR="33FA8457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la primera acreditación en </w:t>
      </w:r>
      <w:r w:rsidRPr="3E90DAB4" w:rsidR="33FA8457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España para</w:t>
      </w:r>
      <w:r w:rsidRPr="3E90DAB4" w:rsidR="33FA8457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certificar el perfil operador de grúa móvil autopropulsada tras haber superado una rigurosa evaluación según los requisitos de la norma internacional UNE-EN ISO/IEC 17024 de certificación de personas, así como los establecidos en la norma UNE 330000-6:2025 (Requisitos para el esquema de certificación de personas en el ámbito de la seguridad industrial. Parte 6: Operador de grúa móvil autopropulsada).</w:t>
      </w:r>
    </w:p>
    <w:p w:rsidR="3E90DAB4" w:rsidP="3E90DAB4" w:rsidRDefault="3E90DAB4" w14:paraId="2D9D3B18" w14:textId="44487245">
      <w:pPr>
        <w:jc w:val="both"/>
      </w:pPr>
    </w:p>
    <w:p xmlns:wp14="http://schemas.microsoft.com/office/word/2010/wordml" w:rsidR="001E4EB3" w:rsidP="479AF554" w:rsidRDefault="00CB1C34" w14:paraId="6E053701" wp14:textId="66AC8540">
      <w:pPr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3E90DAB4" w:rsidR="00CB1C34">
        <w:rPr>
          <w:rFonts w:ascii="Roboto" w:hAnsi="Roboto" w:eastAsia="Roboto" w:cs="Roboto"/>
          <w:sz w:val="22"/>
          <w:szCs w:val="22"/>
          <w:lang w:val="es-ES"/>
        </w:rPr>
        <w:t xml:space="preserve">La certificación de personas acreditada es una de las vías de admitidas para evidenciar el </w:t>
      </w:r>
      <w:r w:rsidRPr="3E90DAB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cumplimiento de los requisitos de competencia del operador de grúas establecidos en </w:t>
      </w:r>
      <w:r w:rsidRPr="3E90DAB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el</w:t>
      </w:r>
      <w:r w:rsidRPr="3E90DAB4" w:rsidR="065C646E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</w:t>
      </w:r>
      <w:r w:rsidRPr="3E90DAB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Real Decreto 837/2003 </w:t>
      </w:r>
      <w:r w:rsidRPr="3E90DAB4" w:rsidR="00CB1C34">
        <w:rPr>
          <w:rFonts w:ascii="Roboto" w:hAnsi="Roboto" w:eastAsia="Roboto" w:cs="Roboto"/>
          <w:sz w:val="22"/>
          <w:szCs w:val="22"/>
          <w:lang w:val="es-ES"/>
        </w:rPr>
        <w:t>por el que se aprueba el nuevo texto modificado y refundido de la Instrucción Técnica Complementaria “MIE-AEM-4” del Reglamento de aparatos de elevación y manutención, referente a grúas móviles autopropulsadas.</w:t>
      </w:r>
    </w:p>
    <w:p xmlns:wp14="http://schemas.microsoft.com/office/word/2010/wordml" w:rsidR="001E4EB3" w:rsidRDefault="001E4EB3" w14:paraId="5DAB6C7B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P="479AF554" w:rsidRDefault="00CB1C34" w14:paraId="433AF00B" wp14:textId="77777777">
      <w:pPr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479AF554" w:rsidR="00CB1C34">
        <w:rPr>
          <w:rFonts w:ascii="Roboto" w:hAnsi="Roboto" w:eastAsia="Roboto" w:cs="Roboto"/>
          <w:sz w:val="22"/>
          <w:szCs w:val="22"/>
          <w:lang w:val="es-ES"/>
        </w:rPr>
        <w:t>Con esta nueva acreditación,</w:t>
      </w:r>
      <w:r w:rsidRPr="479AF55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Marlo </w:t>
      </w:r>
      <w:r w:rsidRPr="479AF55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Formació</w:t>
      </w:r>
      <w:r w:rsidRPr="479AF55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complementa su alcance de acreditación en vigor en el ámbito de los aparatos de elevación</w:t>
      </w:r>
      <w:r w:rsidRPr="479AF554" w:rsidR="00CB1C34">
        <w:rPr>
          <w:rFonts w:ascii="Roboto" w:hAnsi="Roboto" w:eastAsia="Roboto" w:cs="Roboto"/>
          <w:sz w:val="22"/>
          <w:szCs w:val="22"/>
          <w:lang w:val="es-ES"/>
        </w:rPr>
        <w:t>, en donde ya disponía de la certificación de los Operadores de Grúa Torre.</w:t>
      </w:r>
    </w:p>
    <w:p xmlns:wp14="http://schemas.microsoft.com/office/word/2010/wordml" w:rsidR="001E4EB3" w:rsidRDefault="001E4EB3" w14:paraId="02EB378F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RDefault="00CB1C34" w14:paraId="22F10D7D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Este reconocimiento se suma a los ámbitos de la reglamentación en seguridad industrial en los que la certificación acreditada de personas se consolida como una herramienta de desarrollo y cumplimiento de las administraciones públicas, a través de la cual estas se aseguran de que determinadas actuaciones como la operación, instalación, reparación, verificación, mantenimiento, etc. sean llevadas a cabo, únicamente, por personas que hayan evidenciado a un tercero –el certificador acreditado- que poseen los con</w:t>
      </w:r>
      <w:r>
        <w:rPr>
          <w:rFonts w:ascii="Roboto" w:hAnsi="Roboto" w:eastAsia="Roboto" w:cs="Roboto"/>
          <w:sz w:val="22"/>
          <w:szCs w:val="22"/>
        </w:rPr>
        <w:t>ocimientos, habilidades y destrezas necesarias para el desarrollo de sus funciones y tareas.</w:t>
      </w:r>
    </w:p>
    <w:p xmlns:wp14="http://schemas.microsoft.com/office/word/2010/wordml" w:rsidR="001E4EB3" w:rsidRDefault="001E4EB3" w14:paraId="6A05A809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RDefault="00CB1C34" w14:paraId="439969D7" wp14:textId="77777777">
      <w:pPr>
        <w:jc w:val="both"/>
        <w:rPr>
          <w:rFonts w:ascii="Roboto" w:hAnsi="Roboto" w:eastAsia="Roboto" w:cs="Roboto"/>
          <w:b/>
          <w:sz w:val="22"/>
          <w:szCs w:val="22"/>
        </w:rPr>
      </w:pPr>
      <w:r>
        <w:rPr>
          <w:rFonts w:ascii="Roboto" w:hAnsi="Roboto" w:eastAsia="Roboto" w:cs="Roboto"/>
          <w:b/>
          <w:sz w:val="22"/>
          <w:szCs w:val="22"/>
        </w:rPr>
        <w:t>La certificación de personas acreditada, una herramienta al servicio del mercado laboral</w:t>
      </w:r>
    </w:p>
    <w:p xmlns:wp14="http://schemas.microsoft.com/office/word/2010/wordml" w:rsidR="001E4EB3" w:rsidRDefault="001E4EB3" w14:paraId="5A39BBE3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RDefault="00CB1C34" w14:paraId="1EC4F362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La certificación de personas es una herramienta cada vez más utilizada para aportar confianza al mercado, las autoridades o los empleadores sobre la competencia de determinadas personas para ejecutar ciertas actividades. Esta confianza se logra por medio de un proceso, aceptado globalmente, de evaluación y reevaluaciones periódicas de la competencia de las personas certificadas descrito en la norma internacional UNE-EN ISO/IEC 17024.</w:t>
      </w:r>
    </w:p>
    <w:p xmlns:wp14="http://schemas.microsoft.com/office/word/2010/wordml" w:rsidR="001E4EB3" w:rsidRDefault="001E4EB3" w14:paraId="41C8F396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RDefault="001E4EB3" w14:paraId="72A3D3EC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P="479AF554" w:rsidRDefault="00CB1C34" w14:paraId="0454FD67" wp14:textId="77777777">
      <w:pPr>
        <w:jc w:val="both"/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</w:pPr>
      <w:r w:rsidRPr="479AF554" w:rsidR="00CB1C34">
        <w:rPr>
          <w:rFonts w:ascii="Roboto" w:hAnsi="Roboto" w:eastAsia="Roboto" w:cs="Roboto"/>
          <w:sz w:val="22"/>
          <w:szCs w:val="22"/>
          <w:lang w:val="es-ES"/>
        </w:rPr>
        <w:t xml:space="preserve">El desarrollo de esquemas de certificación de personas </w:t>
      </w:r>
      <w:r w:rsidRPr="479AF55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se convierte así en un medio eficaz para dar respuesta a la aparición de nuevos nichos laborales que requieren de competencias específicas no resueltas por la formación reglada tradicional.</w:t>
      </w:r>
      <w:r w:rsidRPr="479AF554" w:rsidR="00CB1C34">
        <w:rPr>
          <w:rFonts w:ascii="Roboto" w:hAnsi="Roboto" w:eastAsia="Roboto" w:cs="Roboto"/>
          <w:sz w:val="22"/>
          <w:szCs w:val="22"/>
          <w:lang w:val="es-ES"/>
        </w:rPr>
        <w:t xml:space="preserve"> </w:t>
      </w:r>
      <w:r w:rsidRPr="479AF554" w:rsidR="00CB1C34">
        <w:rPr>
          <w:rFonts w:ascii="Roboto" w:hAnsi="Roboto" w:eastAsia="Roboto" w:cs="Roboto"/>
          <w:sz w:val="22"/>
          <w:szCs w:val="22"/>
          <w:lang w:val="es-ES"/>
        </w:rPr>
        <w:t>Es también una herramienta comprobada para dotar a los mercados de servicios profesionales de una información más transparente y simétrica permitiendo de este modo a los clientes de estos profesionales una elección más informada y basada en la competencia lo que aumenta la transparencia y competitividad de estos mercados</w:t>
      </w:r>
      <w:r w:rsidRPr="479AF554" w:rsidR="00CB1C34">
        <w:rPr>
          <w:rFonts w:ascii="Roboto" w:hAnsi="Roboto" w:eastAsia="Roboto" w:cs="Roboto"/>
          <w:sz w:val="22"/>
          <w:szCs w:val="22"/>
          <w:lang w:val="es-ES"/>
        </w:rPr>
        <w:t>.</w:t>
      </w:r>
      <w:r w:rsidRPr="479AF554" w:rsidR="00CB1C34">
        <w:rPr>
          <w:rFonts w:ascii="Roboto" w:hAnsi="Roboto" w:eastAsia="Roboto" w:cs="Roboto"/>
          <w:sz w:val="22"/>
          <w:szCs w:val="22"/>
          <w:lang w:val="es-ES"/>
        </w:rPr>
        <w:t xml:space="preserve"> </w:t>
      </w:r>
      <w:r w:rsidRPr="479AF554" w:rsidR="00CB1C34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Es, además, una herramienta de autorregulación de profesiones no reguladas ya que aumenta el nivel de exigencia dificultando el “intrusismo” y el fraude.</w:t>
      </w:r>
    </w:p>
    <w:p xmlns:wp14="http://schemas.microsoft.com/office/word/2010/wordml" w:rsidR="001E4EB3" w:rsidRDefault="001E4EB3" w14:paraId="0D0B940D" wp14:textId="77777777">
      <w:pPr>
        <w:jc w:val="both"/>
      </w:pPr>
    </w:p>
    <w:p xmlns:wp14="http://schemas.microsoft.com/office/word/2010/wordml" w:rsidR="001E4EB3" w:rsidRDefault="00CB1C34" w14:paraId="69A1FD12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/>
        <w:jc w:val="both"/>
        <w:rPr>
          <w:rFonts w:ascii="Roboto" w:hAnsi="Roboto" w:eastAsia="Roboto" w:cs="Roboto"/>
          <w:color w:val="E83544"/>
          <w:sz w:val="22"/>
          <w:szCs w:val="22"/>
        </w:rPr>
      </w:pPr>
      <w:r>
        <w:rPr>
          <w:rFonts w:ascii="Roboto" w:hAnsi="Roboto" w:eastAsia="Roboto" w:cs="Roboto"/>
          <w:b/>
          <w:color w:val="E83544"/>
          <w:sz w:val="22"/>
          <w:szCs w:val="22"/>
        </w:rPr>
        <w:t>Sobre ENAC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xmlns:wp14="http://schemas.microsoft.com/office/word/2010/wordml" w:rsidR="001E4EB3" w:rsidRDefault="00CB1C34" w14:paraId="3DBFD2A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xmlns:wp14="http://schemas.microsoft.com/office/word/2010/wordml" w:rsidR="001E4EB3" w:rsidRDefault="001E4EB3" w14:paraId="0E27B00A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RDefault="00CB1C34" w14:paraId="121F981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</w:t>
      </w:r>
      <w:r>
        <w:rPr>
          <w:rFonts w:ascii="Roboto" w:hAnsi="Roboto" w:eastAsia="Roboto" w:cs="Roboto"/>
          <w:sz w:val="22"/>
          <w:szCs w:val="22"/>
        </w:rPr>
        <w:t xml:space="preserve">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xmlns:wp14="http://schemas.microsoft.com/office/word/2010/wordml" w:rsidR="001E4EB3" w:rsidRDefault="001E4EB3" w14:paraId="60061E4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RDefault="00CB1C34" w14:paraId="54638B6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xmlns:wp14="http://schemas.microsoft.com/office/word/2010/wordml" w:rsidR="001E4EB3" w:rsidRDefault="001E4EB3" w14:paraId="44EAFD9C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1E4EB3" w:rsidRDefault="00CB1C34" w14:paraId="72ADE443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1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xmlns:wp14="http://schemas.microsoft.com/office/word/2010/wordml" w:rsidR="001E4EB3" w:rsidRDefault="001E4EB3" w14:paraId="4B94D5A5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1E4EB3" w:rsidRDefault="00CB1C34" w14:paraId="0DFAE634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xmlns:wp14="http://schemas.microsoft.com/office/word/2010/wordprocessingDrawing" distT="114300" distB="114300" distL="114300" distR="114300" wp14:anchorId="56B07AF8" wp14:editId="7777777">
            <wp:extent cx="297039" cy="297039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xmlns:wp14="http://schemas.microsoft.com/office/word/2010/wordprocessingDrawing" distT="0" distB="0" distL="0" distR="0" wp14:anchorId="08593A13" wp14:editId="7777777">
            <wp:extent cx="304800" cy="30480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E4EB3" w:rsidRDefault="001E4EB3" w14:paraId="3DEEC669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1E4EB3" w:rsidRDefault="001E4EB3" w14:paraId="3656B9AB" wp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1E4EB3" w:rsidRDefault="00CB1C34" w14:paraId="70AF4A84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xmlns:wp14="http://schemas.microsoft.com/office/word/2010/wordml" w:rsidR="001E4EB3" w:rsidRDefault="00CB1C34" w14:paraId="527B165C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xmlns:wp14="http://schemas.microsoft.com/office/word/2010/wordml" w:rsidR="001E4EB3" w:rsidRDefault="00CB1C34" w14:paraId="0B05E5D0" wp14:textId="77777777">
      <w:pPr>
        <w:jc w:val="both"/>
        <w:rPr>
          <w:rFonts w:ascii="Calibri" w:hAnsi="Calibri" w:eastAsia="Calibri" w:cs="Calibri"/>
          <w:highlight w:val="white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4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sectPr w:rsidR="001E4EB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B1C34" w:rsidRDefault="00CB1C34" w14:paraId="4B99056E" wp14:textId="77777777">
      <w:r>
        <w:separator/>
      </w:r>
    </w:p>
  </w:endnote>
  <w:endnote w:type="continuationSeparator" w:id="0">
    <w:p xmlns:wp14="http://schemas.microsoft.com/office/word/2010/wordml" w:rsidR="00CB1C34" w:rsidRDefault="00CB1C34" w14:paraId="1299C43A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2DD2E87E-88CB-4A82-9803-A88F3139542A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A858C96-B7E8-441B-B483-35ACE36008D9}" r:id="rId2"/>
    <w:embedItalic w:fontKey="{BD55456A-0913-49CA-9752-3A025498655F}" r:id="rId3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E2EA3B8-66AB-4E33-AB23-1E17313DF8E6}" r:id="rId4"/>
    <w:embedBold w:fontKey="{ADC3E01E-A549-4C6C-BC0E-C578EF91C98F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E4D655F-827D-4213-9137-F15AB3D4995B}" r:id="rId6"/>
    <w:embedBold w:fontKey="{FA6D6CAB-5063-4D03-8EE8-5F6FEBD8297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457605-127F-46F9-9011-D581AA2E21A9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4EB3" w:rsidRDefault="001E4EB3" w14:paraId="049F31CB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4EB3" w:rsidRDefault="00CB1C34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E4EB3" w:rsidRDefault="001E4EB3" w14:paraId="45FB0818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4EB3" w:rsidRDefault="001E4EB3" w14:paraId="62486C05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B1C34" w:rsidRDefault="00CB1C34" w14:paraId="3461D779" wp14:textId="77777777">
      <w:r>
        <w:separator/>
      </w:r>
    </w:p>
  </w:footnote>
  <w:footnote w:type="continuationSeparator" w:id="0">
    <w:p xmlns:wp14="http://schemas.microsoft.com/office/word/2010/wordml" w:rsidR="00CB1C34" w:rsidRDefault="00CB1C34" w14:paraId="3CF2D8B6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4EB3" w:rsidRDefault="001E4EB3" w14:paraId="4101652C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E4EB3" w:rsidRDefault="00CB1C34" w14:paraId="07A87981" wp14:textId="77777777">
    <w:pPr>
      <w:ind w:left="-120"/>
      <w:jc w:val="both"/>
      <w:rPr>
        <w:rFonts w:ascii="Calibri" w:hAnsi="Calibri" w:eastAsia="Calibri" w:cs="Calibri"/>
        <w:b/>
        <w:sz w:val="40"/>
        <w:szCs w:val="40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1DFC56E3" wp14:editId="7777777">
          <wp:simplePos x="0" y="0"/>
          <wp:positionH relativeFrom="column">
            <wp:posOffset>4114800</wp:posOffset>
          </wp:positionH>
          <wp:positionV relativeFrom="paragraph">
            <wp:posOffset>-304778</wp:posOffset>
          </wp:positionV>
          <wp:extent cx="1547842" cy="997267"/>
          <wp:effectExtent l="0" t="0" r="0" b="0"/>
          <wp:wrapSquare wrapText="bothSides" distT="114300" distB="114300" distL="114300" distR="114300"/>
          <wp:docPr id="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1E4EB3" w:rsidRDefault="00CB1C34" w14:paraId="12ECC7C7" wp14:textId="77777777">
    <w:pPr>
      <w:ind w:left="-120"/>
      <w:jc w:val="both"/>
      <w:rPr>
        <w:rFonts w:ascii="Roboto" w:hAnsi="Roboto" w:eastAsia="Roboto" w:cs="Roboto"/>
        <w:sz w:val="22"/>
        <w:szCs w:val="22"/>
      </w:rPr>
    </w:pPr>
    <w:r>
      <w:rPr>
        <w:rFonts w:ascii="Roboto" w:hAnsi="Roboto" w:eastAsia="Roboto" w:cs="Roboto"/>
        <w:b/>
        <w:sz w:val="40"/>
        <w:szCs w:val="40"/>
      </w:rPr>
      <w:t>NOTA DE PRENSA</w:t>
    </w:r>
    <w:r>
      <w:rPr>
        <w:rFonts w:ascii="Roboto" w:hAnsi="Roboto" w:eastAsia="Roboto" w:cs="Roboto"/>
        <w:sz w:val="22"/>
        <w:szCs w:val="22"/>
      </w:rPr>
      <w:t xml:space="preserve"> </w:t>
    </w:r>
  </w:p>
  <w:p xmlns:wp14="http://schemas.microsoft.com/office/word/2010/wordml" w:rsidR="001E4EB3" w:rsidRDefault="001E4EB3" w14:paraId="53128261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4EB3" w:rsidRDefault="001E4EB3" w14:paraId="4DDBEF00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BD0C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688667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EB3"/>
    <w:rsid w:val="001E4EB3"/>
    <w:rsid w:val="00C506A4"/>
    <w:rsid w:val="00CB1C34"/>
    <w:rsid w:val="065C646E"/>
    <w:rsid w:val="15CE910C"/>
    <w:rsid w:val="263F1BDB"/>
    <w:rsid w:val="2B94704A"/>
    <w:rsid w:val="33FA8457"/>
    <w:rsid w:val="3E90DAB4"/>
    <w:rsid w:val="479AF554"/>
    <w:rsid w:val="49FF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6BE3F1"/>
  <w15:docId w15:val="{6A8564DD-EA83-4EB4-9F0A-7C67390AB74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uiPriority w:val="99"/>
    <w:name w:val="Hyperlink"/>
    <w:basedOn w:val="Fuentedeprrafopredeter"/>
    <w:unhideWhenUsed/>
    <w:rsid w:val="3E90DA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enac.es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evamc@varenga.es" TargetMode="External" Id="rId14" /><Relationship Type="http://schemas.openxmlformats.org/officeDocument/2006/relationships/theme" Target="theme/theme1.xml" Id="rId22" /><Relationship Type="http://schemas.openxmlformats.org/officeDocument/2006/relationships/hyperlink" Target="https://www.enac.es/" TargetMode="External" Id="R6ccf8095d41e442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Ei/6wqoHzP+TCS5GIijhjh4JDw==">CgMxLjAaGgoBMBIVChMIBCoPCgtBQUFCbE8tVHZ4OBABGhoKATESFQoTCAQqDwoLQUFBQmxPLVR2eUEQARoaCgEyEhUKEwgEKg8KC0FBQUJsTy1UdnlBEAIi7gIKC0FBQUJsTy1UdnlBEroCCgtBQUFCbE8tVHZ5QRILQUFBQmxPLVR2eUEaDQoJdGV4dC9odG1sEgAiDgoKdGV4dC9wbGFpbhIAKhsiFTExMTk4Njc5NTk2MzExMTY0MDM0MCgAOAAwoa/thIUzOIfP7YSFM0qfAQokYXBwbGljYXRpb24vdm5kLmdvb2dsZS1hcHBzLmRvY3MubWRzGnfC19rkAXEKbwopCiNsYSBwcmltZXJhIGFjcmVkaXRhY2nDs24gZW4gRXNwYcOxYRABGAASQAo6c2UgaGEgY29udmVydGlkbyBlbiBsYSBwcmltZXJhIGVudGlkYWQgYWNyZWRpdGFkYSBwb3IgRU5BQxABGAAYAVoMdnRjZ2RsZHAxeXJwcgIgAHgAggEUc3VnZ2VzdC52cnR6MmZhMzhxdGaaAQYIABAAGAAYoa/thIUzIIfP7YSFM0IUc3VnZ2VzdC52cnR6MmZhMzhxdGYiwwIKC0FBQUJsTy1Udng4Eo8CCgtBQUFCbE8tVHZ4OBILQUFBQmxPLVR2eDgaDQoJdGV4dC9odG1sEgAiDgoKdGV4dC9wbGFpbhIAKhsiFTExMTk4Njc5NTk2MzExMTY0MDM0MCgAOAAwsoHshIUzON3/7ISFM0p1CiRhcHBsaWNhdGlvbi92bmQuZ29vZ2xlLWFwcHMuZG9jcy5tZHMaTcLX2uQBRxpFCkEKO0xhIEVudGlkYWQgTmFjaW9uYWwgZGUgQWNyZWRpdGFjacOzbiAoRU5BQykgaGEgY29uY2VuY2lkbyBhEAEYABABWgxzbXQ4NWl5cThyY2pyAiAAeACCARRzdWdnZXN0LjI3MTk5ancwYXlndpoBBggAEAAYABiygeyEhTMg3f/shIUzQhRzdWdnZXN0LjI3MTk5ancwYXlndjgAaiMKFHN1Z2dlc3QudnJ0ejJmYTM4cXRmEgtFdmEgTWFydMOtbmojChRzdWdnZXN0LjI3MTk5ancwYXlndhILRXZhIE1hcnTDrW5yITFES3lUSWx5X3dldVdCV3JqNGZ4elNSUE1CNnE5ejhueQ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6F5283F-5633-4A02-95DE-2C47F67B2D68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3.xml><?xml version="1.0" encoding="utf-8"?>
<ds:datastoreItem xmlns:ds="http://schemas.openxmlformats.org/officeDocument/2006/customXml" ds:itemID="{80C28191-120A-43AE-B90F-929EDBB721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05CAD9-E204-4BA2-B41F-9BD8726EB2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Eva Martín</lastModifiedBy>
  <revision>3</revision>
  <dcterms:created xsi:type="dcterms:W3CDTF">2025-07-29T05:57:00.0000000Z</dcterms:created>
  <dcterms:modified xsi:type="dcterms:W3CDTF">2025-07-29T07:02:40.5344049Z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