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 Ministerio de Agricultura, Pesca y Alimentación exige la acreditación de ENAC para notificar a los organismos de evaluación que quieran operar conforme a la normativa europea sobre productos fertilizantes  </w:t>
      </w:r>
    </w:p>
    <w:p w:rsidR="00000000" w:rsidDel="00000000" w:rsidP="00000000" w:rsidRDefault="00000000" w:rsidRPr="00000000" w14:paraId="00000005">
      <w:pPr>
        <w:spacing w:after="0" w:before="24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ENAC se encuentra ya en disposición de recibir solicitudes de acreditación de organismos que quieran acreditarse conforme al reglamento europeo en materia de productos fertilizantes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Madrid, </w:t>
      </w:r>
      <w:r w:rsidDel="00000000" w:rsidR="00000000" w:rsidRPr="00000000">
        <w:rPr>
          <w:rtl w:val="0"/>
        </w:rPr>
        <w:t xml:space="preserve">01 de diciembre de 2020.- El </w:t>
      </w:r>
      <w:hyperlink r:id="rId6">
        <w:r w:rsidDel="00000000" w:rsidR="00000000" w:rsidRPr="00000000">
          <w:rPr>
            <w:rtl w:val="0"/>
          </w:rPr>
          <w:t xml:space="preserve">Real Decreto 568/2020</w:t>
        </w:r>
      </w:hyperlink>
      <w:r w:rsidDel="00000000" w:rsidR="00000000" w:rsidRPr="00000000">
        <w:rPr>
          <w:rtl w:val="0"/>
        </w:rPr>
        <w:t xml:space="preserve">, publicado recientemente por el Ministerio de Agricultura, Pesca y Alimentación, establece que los organismos de evaluación que quieran ser notificados por dicho Ministerio para operar conforme a la normativa europea sobre productos fertilizantes, deberán estar previamente acreditados por la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Entidad Nacional de Acreditación</w:t>
        </w:r>
      </w:hyperlink>
      <w:r w:rsidDel="00000000" w:rsidR="00000000" w:rsidRPr="00000000">
        <w:rPr>
          <w:rtl w:val="0"/>
        </w:rPr>
        <w:t xml:space="preserve"> (ENAC), según la norma UNE-EN ISO/IEC 17065.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Dicho real decreto designa a la autoridad notificante en materia de productos fertilizantes y da cumplimento al </w:t>
      </w:r>
      <w:hyperlink r:id="rId8">
        <w:r w:rsidDel="00000000" w:rsidR="00000000" w:rsidRPr="00000000">
          <w:rPr>
            <w:rtl w:val="0"/>
          </w:rPr>
          <w:t xml:space="preserve">Reglamento (UE) 2019/1009</w:t>
        </w:r>
      </w:hyperlink>
      <w:r w:rsidDel="00000000" w:rsidR="00000000" w:rsidRPr="00000000">
        <w:rPr>
          <w:rtl w:val="0"/>
        </w:rPr>
        <w:t xml:space="preserve"> publicado el año pasado por el Parlamento Europeo, por el que se establecen las disposiciones relativas a la puesta a disposición en el mercado de los productos fertilizantes UE.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En el texto del real decreto se establece que, para convertirse en organismo notificado, “el organismo de evaluación de la conformidad deberá cumplir la norma UNE-EN ISO/IEC 17065:2012 o la que pueda sustituirla en el futuro. (…) La evaluación y la supervisión de estos organismos de evaluación de la conformidad se realizarán por el organismo nacional de acreditación de conformidad con el Real Decreto 1715/2010, por el que se designa a la Entidad Nacional de Acreditación (ENAC) como organismo nacional de acreditación” en España.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ENAC y el sector agroalimentario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La acreditación de ENAC en el ámbito agroalimentario aporta la garantía de que determinados productos y servicios que se ponen en el mercado reúnen unos requisitos de seguridad específicos, así como una serie de características diferenciales de calidad.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En este sentido, los servicios de </w:t>
      </w:r>
      <w:r w:rsidDel="00000000" w:rsidR="00000000" w:rsidRPr="00000000">
        <w:rPr>
          <w:u w:val="single"/>
          <w:rtl w:val="0"/>
        </w:rPr>
        <w:t xml:space="preserve">certificación de producto</w:t>
      </w:r>
      <w:r w:rsidDel="00000000" w:rsidR="00000000" w:rsidRPr="00000000">
        <w:rPr>
          <w:rtl w:val="0"/>
        </w:rPr>
        <w:t xml:space="preserve"> acreditados juegan un papel muy importante y así lo refleja el gran crecimiento experimentado en el uso de estos servicios técnicamente competentes tanto en el campo regulado como voluntario. </w:t>
      </w:r>
      <w:r w:rsidDel="00000000" w:rsidR="00000000" w:rsidRPr="00000000">
        <w:rPr>
          <w:highlight w:val="white"/>
          <w:rtl w:val="0"/>
        </w:rPr>
        <w:t xml:space="preserve">Destaca en este sentido la legislación comunitaria relativa a las producciones ecológicas, Denominaciones de Origen e Indicaciones Geográficas Protegidas (tanto vínicas como alimentarias) y Especialidades Tradicionales (como por ejemplo el Jamón Serrano); en el campo voluntario han ido apareciendo una serie de esquemas exigidos por la distribución nacional o internacional como Global G.A.P., BRC, IFS, QS, que también exigen la participación de entidades de certificación acreditadas.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La Entidad Nacional de Acreditación – ENAC – es la entidad 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Su misión es generar confianza en el mercado y en la sociedad evaluando, a través de un sistema conforme a normas internacionales, la competencia técnica de entidades de evaluación de la conformidad como los laboratorios de ensayo, entidades de inspección o entidades de certificación de productos.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90 países en los que la marca de ENAC es reconocida y aceptada gracias a los acuerdos de reconocimiento que ENAC ha suscrito con las entidades de acreditación de esos países.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both"/>
        <w:rPr/>
      </w:pPr>
      <w:hyperlink r:id="rId9">
        <w:r w:rsidDel="00000000" w:rsidR="00000000" w:rsidRPr="00000000">
          <w:rPr>
            <w:u w:val="single"/>
            <w:rtl w:val="0"/>
          </w:rPr>
          <w:t xml:space="preserve">www.enac.es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Para más información sobre la nota de prensa, resolver dudas o gestionar entrevistas: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Eva Martín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Tfno. 628 17 49 01 /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evamc@varenga.es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sectPr>
      <w:headerReference r:id="rId11" w:type="default"/>
      <w:foot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 w:rsidDel="00000000" w:rsidR="00000000" w:rsidRPr="00000000">
      <w:rPr>
        <w:b w:val="1"/>
        <w:color w:val="000000"/>
        <w:sz w:val="40"/>
        <w:szCs w:val="40"/>
        <w:rtl w:val="0"/>
      </w:rPr>
      <w:t xml:space="preserve">NOTA DE PRENSA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4530090</wp:posOffset>
          </wp:positionH>
          <wp:positionV relativeFrom="paragraph">
            <wp:posOffset>-297177</wp:posOffset>
          </wp:positionV>
          <wp:extent cx="1324610" cy="73342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evamc@varenga.es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oe.es/buscar/act.php?id=BOE-A-2020-6233" TargetMode="External"/><Relationship Id="rId7" Type="http://schemas.openxmlformats.org/officeDocument/2006/relationships/hyperlink" Target="https://www.enac.es/web/enac" TargetMode="External"/><Relationship Id="rId8" Type="http://schemas.openxmlformats.org/officeDocument/2006/relationships/hyperlink" Target="https://eur-lex.europa.eu/legal-content/ES/TXT/?uri=uriserv:OJ.L_.2019.170.01.0001.01.SPA&amp;toc=OJ:L:2019:170:TO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