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F26D" w14:textId="77777777" w:rsidR="00037B41" w:rsidRDefault="00765B0C">
      <w:pPr>
        <w:shd w:val="clear" w:color="auto" w:fill="FFFFFF"/>
        <w:spacing w:after="0"/>
        <w:jc w:val="center"/>
        <w:rPr>
          <w:rFonts w:ascii="Roboto" w:eastAsia="Roboto" w:hAnsi="Roboto" w:cs="Roboto"/>
          <w:sz w:val="34"/>
          <w:szCs w:val="34"/>
        </w:rPr>
      </w:pPr>
      <w:r>
        <w:rPr>
          <w:rFonts w:ascii="Roboto" w:eastAsia="Roboto" w:hAnsi="Roboto" w:cs="Roboto"/>
          <w:b/>
          <w:sz w:val="34"/>
          <w:szCs w:val="34"/>
        </w:rPr>
        <w:t>La acreditación de ENAC facilita el acceso al mercado japonés en el sector de las comunicaciones</w:t>
      </w:r>
    </w:p>
    <w:p w14:paraId="1CC11338" w14:textId="77777777" w:rsidR="00037B41" w:rsidRDefault="00037B41">
      <w:pPr>
        <w:shd w:val="clear" w:color="auto" w:fill="FFFFFF"/>
        <w:spacing w:after="0"/>
        <w:jc w:val="center"/>
        <w:rPr>
          <w:rFonts w:ascii="Roboto" w:eastAsia="Roboto" w:hAnsi="Roboto" w:cs="Roboto"/>
          <w:sz w:val="26"/>
          <w:szCs w:val="26"/>
        </w:rPr>
      </w:pPr>
    </w:p>
    <w:p w14:paraId="360B1A18" w14:textId="77777777" w:rsidR="00037B41" w:rsidRDefault="00765B0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Al contar con la acreditación de ENAC, </w:t>
      </w:r>
      <w:proofErr w:type="spellStart"/>
      <w:r>
        <w:rPr>
          <w:rFonts w:ascii="Roboto" w:eastAsia="Roboto" w:hAnsi="Roboto" w:cs="Roboto"/>
          <w:b/>
        </w:rPr>
        <w:t>Applus</w:t>
      </w:r>
      <w:proofErr w:type="spellEnd"/>
      <w:r>
        <w:rPr>
          <w:rFonts w:ascii="Roboto" w:eastAsia="Roboto" w:hAnsi="Roboto" w:cs="Roboto"/>
          <w:b/>
        </w:rPr>
        <w:t xml:space="preserve">+ </w:t>
      </w:r>
      <w:proofErr w:type="spellStart"/>
      <w:r>
        <w:rPr>
          <w:rFonts w:ascii="Roboto" w:eastAsia="Roboto" w:hAnsi="Roboto" w:cs="Roboto"/>
          <w:b/>
        </w:rPr>
        <w:t>Laboratories</w:t>
      </w:r>
      <w:proofErr w:type="spellEnd"/>
      <w:r>
        <w:rPr>
          <w:rFonts w:ascii="Roboto" w:eastAsia="Roboto" w:hAnsi="Roboto" w:cs="Roboto"/>
          <w:b/>
        </w:rPr>
        <w:t xml:space="preserve"> está autorizado para certificar equipos Wireless destinados al mercado japonés de acuerdo con la legislación local</w:t>
      </w:r>
    </w:p>
    <w:p w14:paraId="62F4E0E2" w14:textId="77777777" w:rsidR="00037B41" w:rsidRDefault="00037B41">
      <w:pPr>
        <w:shd w:val="clear" w:color="auto" w:fill="FFFFFF"/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676439F5" w14:textId="77777777" w:rsidR="00037B41" w:rsidRDefault="00765B0C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>“Dicho reconocimiento permite a los fabricantes y distribuidores españoles que q</w:t>
      </w:r>
      <w:r>
        <w:rPr>
          <w:rFonts w:ascii="Roboto" w:eastAsia="Roboto" w:hAnsi="Roboto" w:cs="Roboto"/>
          <w:b/>
        </w:rPr>
        <w:t xml:space="preserve">uieran poner sus productos en el mercado japonés mayor facilidad de acceso”, Paqui Asensio, E&amp;E </w:t>
      </w:r>
      <w:proofErr w:type="spellStart"/>
      <w:r>
        <w:rPr>
          <w:rFonts w:ascii="Roboto" w:eastAsia="Roboto" w:hAnsi="Roboto" w:cs="Roboto"/>
          <w:b/>
        </w:rPr>
        <w:t>Quality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gramStart"/>
      <w:r>
        <w:rPr>
          <w:rFonts w:ascii="Roboto" w:eastAsia="Roboto" w:hAnsi="Roboto" w:cs="Roboto"/>
          <w:b/>
        </w:rPr>
        <w:t>Director</w:t>
      </w:r>
      <w:proofErr w:type="gramEnd"/>
      <w:r>
        <w:rPr>
          <w:rFonts w:ascii="Roboto" w:eastAsia="Roboto" w:hAnsi="Roboto" w:cs="Roboto"/>
          <w:b/>
        </w:rPr>
        <w:t xml:space="preserve"> en </w:t>
      </w:r>
      <w:proofErr w:type="spellStart"/>
      <w:r>
        <w:rPr>
          <w:rFonts w:ascii="Roboto" w:eastAsia="Roboto" w:hAnsi="Roboto" w:cs="Roboto"/>
          <w:b/>
        </w:rPr>
        <w:t>Applus</w:t>
      </w:r>
      <w:proofErr w:type="spellEnd"/>
      <w:r>
        <w:rPr>
          <w:rFonts w:ascii="Roboto" w:eastAsia="Roboto" w:hAnsi="Roboto" w:cs="Roboto"/>
          <w:b/>
        </w:rPr>
        <w:t xml:space="preserve">+ </w:t>
      </w:r>
      <w:proofErr w:type="spellStart"/>
      <w:r>
        <w:rPr>
          <w:rFonts w:ascii="Roboto" w:eastAsia="Roboto" w:hAnsi="Roboto" w:cs="Roboto"/>
          <w:b/>
        </w:rPr>
        <w:t>Laboratories</w:t>
      </w:r>
      <w:proofErr w:type="spellEnd"/>
    </w:p>
    <w:p w14:paraId="0B104F83" w14:textId="77777777" w:rsidR="00037B41" w:rsidRDefault="00765B0C">
      <w:pPr>
        <w:shd w:val="clear" w:color="auto" w:fill="FFFFFF"/>
        <w:spacing w:after="0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BC71076" w14:textId="77777777" w:rsidR="00037B41" w:rsidRDefault="00765B0C">
      <w:pPr>
        <w:shd w:val="clear" w:color="auto" w:fill="FFFFFF"/>
        <w:spacing w:after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Madrid, 19 de mayo de 2022.- El </w:t>
      </w:r>
      <w:r>
        <w:rPr>
          <w:rFonts w:ascii="Roboto" w:eastAsia="Roboto" w:hAnsi="Roboto" w:cs="Roboto"/>
          <w:b/>
        </w:rPr>
        <w:t>Ministerio de Asuntos Internos y Comunicaciones (MIC)</w:t>
      </w:r>
      <w:r>
        <w:rPr>
          <w:rFonts w:ascii="Roboto" w:eastAsia="Roboto" w:hAnsi="Roboto" w:cs="Roboto"/>
        </w:rPr>
        <w:t xml:space="preserve"> de Japón ha reconocido </w:t>
      </w:r>
      <w:hyperlink r:id="rId11">
        <w:proofErr w:type="spellStart"/>
        <w:r>
          <w:rPr>
            <w:rFonts w:ascii="Roboto" w:eastAsia="Roboto" w:hAnsi="Roboto" w:cs="Roboto"/>
            <w:color w:val="D91D24"/>
            <w:u w:val="single"/>
          </w:rPr>
          <w:t>Applus</w:t>
        </w:r>
        <w:proofErr w:type="spellEnd"/>
        <w:r>
          <w:rPr>
            <w:rFonts w:ascii="Roboto" w:eastAsia="Roboto" w:hAnsi="Roboto" w:cs="Roboto"/>
            <w:color w:val="D91D24"/>
            <w:u w:val="single"/>
          </w:rPr>
          <w:t xml:space="preserve">+ </w:t>
        </w:r>
        <w:proofErr w:type="spellStart"/>
        <w:r>
          <w:rPr>
            <w:rFonts w:ascii="Roboto" w:eastAsia="Roboto" w:hAnsi="Roboto" w:cs="Roboto"/>
            <w:color w:val="D91D24"/>
            <w:u w:val="single"/>
          </w:rPr>
          <w:t>Laboratories</w:t>
        </w:r>
        <w:proofErr w:type="spellEnd"/>
      </w:hyperlink>
      <w:r>
        <w:rPr>
          <w:rFonts w:ascii="Roboto" w:eastAsia="Roboto" w:hAnsi="Roboto" w:cs="Roboto"/>
          <w:color w:val="333333"/>
        </w:rPr>
        <w:t xml:space="preserve"> </w:t>
      </w:r>
      <w:r>
        <w:rPr>
          <w:rFonts w:ascii="Roboto" w:eastAsia="Roboto" w:hAnsi="Roboto" w:cs="Roboto"/>
        </w:rPr>
        <w:t xml:space="preserve">como entidad de certificación extranjera registrada para la evaluación de la conformidad de productos de radio, </w:t>
      </w:r>
      <w:r>
        <w:rPr>
          <w:rFonts w:ascii="Roboto" w:eastAsia="Roboto" w:hAnsi="Roboto" w:cs="Roboto"/>
          <w:b/>
        </w:rPr>
        <w:t xml:space="preserve">gracias a contar con la acreditación de la </w:t>
      </w:r>
      <w:hyperlink r:id="rId12">
        <w:r>
          <w:rPr>
            <w:rFonts w:ascii="Roboto" w:eastAsia="Roboto" w:hAnsi="Roboto" w:cs="Roboto"/>
            <w:b/>
            <w:color w:val="1155CC"/>
            <w:u w:val="single"/>
          </w:rPr>
          <w:t>Entidad Nacional de Acreditación</w:t>
        </w:r>
      </w:hyperlink>
      <w:r>
        <w:t xml:space="preserve"> (ENAC)</w:t>
      </w:r>
      <w:r>
        <w:rPr>
          <w:rFonts w:ascii="Roboto" w:eastAsia="Roboto" w:hAnsi="Roboto" w:cs="Roboto"/>
        </w:rPr>
        <w:t xml:space="preserve">. Con ello, </w:t>
      </w:r>
      <w:proofErr w:type="spellStart"/>
      <w:r>
        <w:rPr>
          <w:rFonts w:ascii="Roboto" w:eastAsia="Roboto" w:hAnsi="Roboto" w:cs="Roboto"/>
        </w:rPr>
        <w:t>Applus</w:t>
      </w:r>
      <w:proofErr w:type="spellEnd"/>
      <w:r>
        <w:rPr>
          <w:rFonts w:ascii="Roboto" w:eastAsia="Roboto" w:hAnsi="Roboto" w:cs="Roboto"/>
        </w:rPr>
        <w:t xml:space="preserve">+ </w:t>
      </w:r>
      <w:proofErr w:type="spellStart"/>
      <w:r>
        <w:rPr>
          <w:rFonts w:ascii="Roboto" w:eastAsia="Roboto" w:hAnsi="Roboto" w:cs="Roboto"/>
        </w:rPr>
        <w:t>Laboratories</w:t>
      </w:r>
      <w:proofErr w:type="spellEnd"/>
      <w:r>
        <w:rPr>
          <w:rFonts w:ascii="Roboto" w:eastAsia="Roboto" w:hAnsi="Roboto" w:cs="Roboto"/>
        </w:rPr>
        <w:t xml:space="preserve"> está autorizado para certificar equipos Wireless destinados al mercado japonés de acuerdo con la legislación local, que exige que la certificación de los equipos de ra</w:t>
      </w:r>
      <w:r>
        <w:rPr>
          <w:rFonts w:ascii="Roboto" w:eastAsia="Roboto" w:hAnsi="Roboto" w:cs="Roboto"/>
        </w:rPr>
        <w:t xml:space="preserve">dio sea realizada por una entidad designada por el MIC. </w:t>
      </w:r>
    </w:p>
    <w:p w14:paraId="6ECF375C" w14:textId="77777777" w:rsidR="00037B41" w:rsidRDefault="00037B41">
      <w:pPr>
        <w:shd w:val="clear" w:color="auto" w:fill="FFFFFF"/>
        <w:spacing w:after="0"/>
        <w:jc w:val="both"/>
        <w:rPr>
          <w:rFonts w:ascii="Roboto" w:eastAsia="Roboto" w:hAnsi="Roboto" w:cs="Roboto"/>
        </w:rPr>
      </w:pPr>
    </w:p>
    <w:p w14:paraId="1E8BC2FA" w14:textId="77777777" w:rsidR="00037B41" w:rsidRDefault="00765B0C">
      <w:pPr>
        <w:shd w:val="clear" w:color="auto" w:fill="FFFFFF"/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Este nuevo reconocimiento supone un auténtico pasaporte a la exportación para </w:t>
      </w:r>
      <w:proofErr w:type="spellStart"/>
      <w:r>
        <w:rPr>
          <w:rFonts w:ascii="Roboto" w:eastAsia="Roboto" w:hAnsi="Roboto" w:cs="Roboto"/>
        </w:rPr>
        <w:t>Applus</w:t>
      </w:r>
      <w:proofErr w:type="spellEnd"/>
      <w:r>
        <w:rPr>
          <w:rFonts w:ascii="Roboto" w:eastAsia="Roboto" w:hAnsi="Roboto" w:cs="Roboto"/>
        </w:rPr>
        <w:t xml:space="preserve">+ </w:t>
      </w:r>
      <w:proofErr w:type="spellStart"/>
      <w:r>
        <w:rPr>
          <w:rFonts w:ascii="Roboto" w:eastAsia="Roboto" w:hAnsi="Roboto" w:cs="Roboto"/>
        </w:rPr>
        <w:t>Laboratories</w:t>
      </w:r>
      <w:proofErr w:type="spellEnd"/>
      <w:r>
        <w:rPr>
          <w:rFonts w:ascii="Roboto" w:eastAsia="Roboto" w:hAnsi="Roboto" w:cs="Roboto"/>
        </w:rPr>
        <w:t xml:space="preserve"> y sus clientes, expandiendo el alcance global de sus certificados para equipos radio en los países </w:t>
      </w:r>
      <w:r>
        <w:rPr>
          <w:rFonts w:ascii="Roboto" w:eastAsia="Roboto" w:hAnsi="Roboto" w:cs="Roboto"/>
        </w:rPr>
        <w:t>más industrializados, ya que, junto a Japón, la entidad de certificación ya es reconocida en la Unión Europea, Reino Unido, Estados Unidos y Canadá.</w:t>
      </w:r>
    </w:p>
    <w:p w14:paraId="72C3C2B7" w14:textId="77777777" w:rsidR="00037B41" w:rsidRDefault="00765B0C">
      <w:pPr>
        <w:shd w:val="clear" w:color="auto" w:fill="FFFFFF"/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Paqui Asensio, E&amp;E </w:t>
      </w:r>
      <w:proofErr w:type="spellStart"/>
      <w:r>
        <w:rPr>
          <w:rFonts w:ascii="Roboto" w:eastAsia="Roboto" w:hAnsi="Roboto" w:cs="Roboto"/>
        </w:rPr>
        <w:t>Quality</w:t>
      </w:r>
      <w:proofErr w:type="spellEnd"/>
      <w:r>
        <w:rPr>
          <w:rFonts w:ascii="Roboto" w:eastAsia="Roboto" w:hAnsi="Roboto" w:cs="Roboto"/>
        </w:rPr>
        <w:t xml:space="preserve"> </w:t>
      </w:r>
      <w:proofErr w:type="gramStart"/>
      <w:r>
        <w:rPr>
          <w:rFonts w:ascii="Roboto" w:eastAsia="Roboto" w:hAnsi="Roboto" w:cs="Roboto"/>
        </w:rPr>
        <w:t>Director</w:t>
      </w:r>
      <w:proofErr w:type="gram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Applus</w:t>
      </w:r>
      <w:proofErr w:type="spellEnd"/>
      <w:r>
        <w:rPr>
          <w:rFonts w:ascii="Roboto" w:eastAsia="Roboto" w:hAnsi="Roboto" w:cs="Roboto"/>
        </w:rPr>
        <w:t xml:space="preserve">+ </w:t>
      </w:r>
      <w:proofErr w:type="spellStart"/>
      <w:r>
        <w:rPr>
          <w:rFonts w:ascii="Roboto" w:eastAsia="Roboto" w:hAnsi="Roboto" w:cs="Roboto"/>
        </w:rPr>
        <w:t>Laboratories</w:t>
      </w:r>
      <w:proofErr w:type="spellEnd"/>
      <w:r>
        <w:rPr>
          <w:rFonts w:ascii="Roboto" w:eastAsia="Roboto" w:hAnsi="Roboto" w:cs="Roboto"/>
        </w:rPr>
        <w:t>, explica la trascendencia del reconocimiento de</w:t>
      </w:r>
      <w:r>
        <w:rPr>
          <w:rFonts w:ascii="Roboto" w:eastAsia="Roboto" w:hAnsi="Roboto" w:cs="Roboto"/>
        </w:rPr>
        <w:t xml:space="preserve"> esta acreditación: “El beneficio para </w:t>
      </w:r>
      <w:proofErr w:type="spellStart"/>
      <w:r>
        <w:rPr>
          <w:rFonts w:ascii="Roboto" w:eastAsia="Roboto" w:hAnsi="Roboto" w:cs="Roboto"/>
        </w:rPr>
        <w:t>Applus</w:t>
      </w:r>
      <w:proofErr w:type="spellEnd"/>
      <w:r>
        <w:rPr>
          <w:rFonts w:ascii="Roboto" w:eastAsia="Roboto" w:hAnsi="Roboto" w:cs="Roboto"/>
        </w:rPr>
        <w:t xml:space="preserve">+ </w:t>
      </w:r>
      <w:proofErr w:type="spellStart"/>
      <w:r>
        <w:rPr>
          <w:rFonts w:ascii="Roboto" w:eastAsia="Roboto" w:hAnsi="Roboto" w:cs="Roboto"/>
        </w:rPr>
        <w:t>Laboratories</w:t>
      </w:r>
      <w:proofErr w:type="spellEnd"/>
      <w:r>
        <w:rPr>
          <w:rFonts w:ascii="Roboto" w:eastAsia="Roboto" w:hAnsi="Roboto" w:cs="Roboto"/>
        </w:rPr>
        <w:t xml:space="preserve"> es muy grande. A partir de ahora, podemos ofrecer este nuevo servicio a nuestros clientes, respondiendo a sus necesidades y ayudándoles en todo momento a introducir sus productos en un mercado tan</w:t>
      </w:r>
      <w:r>
        <w:rPr>
          <w:rFonts w:ascii="Roboto" w:eastAsia="Roboto" w:hAnsi="Roboto" w:cs="Roboto"/>
        </w:rPr>
        <w:t xml:space="preserve"> importante como es el japonés. </w:t>
      </w:r>
      <w:r>
        <w:rPr>
          <w:rFonts w:ascii="Roboto" w:eastAsia="Roboto" w:hAnsi="Roboto" w:cs="Roboto"/>
          <w:b/>
        </w:rPr>
        <w:t xml:space="preserve">Con esta acreditación, ampliamos nuestro </w:t>
      </w:r>
      <w:proofErr w:type="gramStart"/>
      <w:r>
        <w:rPr>
          <w:rFonts w:ascii="Roboto" w:eastAsia="Roboto" w:hAnsi="Roboto" w:cs="Roboto"/>
          <w:b/>
        </w:rPr>
        <w:t>portfolio</w:t>
      </w:r>
      <w:proofErr w:type="gramEnd"/>
      <w:r>
        <w:rPr>
          <w:rFonts w:ascii="Roboto" w:eastAsia="Roboto" w:hAnsi="Roboto" w:cs="Roboto"/>
          <w:b/>
        </w:rPr>
        <w:t xml:space="preserve"> y entramos en el reducido grupo de entidades a nivel mundial que ofrecen este servicio</w:t>
      </w:r>
      <w:r>
        <w:rPr>
          <w:rFonts w:ascii="Roboto" w:eastAsia="Roboto" w:hAnsi="Roboto" w:cs="Roboto"/>
        </w:rPr>
        <w:t>. Por otro lado, esta acreditación nos ayuda, sin duda, a continuar con nuestro plan es</w:t>
      </w:r>
      <w:r>
        <w:rPr>
          <w:rFonts w:ascii="Roboto" w:eastAsia="Roboto" w:hAnsi="Roboto" w:cs="Roboto"/>
        </w:rPr>
        <w:t>tratégico en los campos de la certificación internacional y, en especial, a consolidar nuestro avance en el mercado asiático”.</w:t>
      </w:r>
    </w:p>
    <w:p w14:paraId="5B11D4C6" w14:textId="7FFA9DC1" w:rsidR="00037B41" w:rsidRDefault="00765B0C">
      <w:pPr>
        <w:shd w:val="clear" w:color="auto" w:fill="FFFFFF"/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Asimismo, la directora de Calidad destaca el valor que aporta a sus clientes, empresas españolas exportadoras: “</w:t>
      </w:r>
      <w:r>
        <w:rPr>
          <w:rFonts w:ascii="Roboto" w:eastAsia="Roboto" w:hAnsi="Roboto" w:cs="Roboto"/>
          <w:b/>
        </w:rPr>
        <w:t>Dicho reconocimiento permite a los fabricantes y distribuidores españoles que quieran poner sus productos en el mercado japonés mayor facilidad de acceso, ya que, a partir de ahora, no tendrán la necesidad de acudir a una entidad extranjera</w:t>
      </w:r>
      <w:r>
        <w:rPr>
          <w:rFonts w:ascii="Roboto" w:eastAsia="Roboto" w:hAnsi="Roboto" w:cs="Roboto"/>
        </w:rPr>
        <w:t xml:space="preserve"> para este propó</w:t>
      </w:r>
      <w:r>
        <w:rPr>
          <w:rFonts w:ascii="Roboto" w:eastAsia="Roboto" w:hAnsi="Roboto" w:cs="Roboto"/>
        </w:rPr>
        <w:t xml:space="preserve">sito. Nos gustaría recalcar que </w:t>
      </w:r>
      <w:proofErr w:type="spellStart"/>
      <w:r>
        <w:rPr>
          <w:rFonts w:ascii="Roboto" w:eastAsia="Roboto" w:hAnsi="Roboto" w:cs="Roboto"/>
        </w:rPr>
        <w:t>Applus</w:t>
      </w:r>
      <w:proofErr w:type="spellEnd"/>
      <w:r>
        <w:rPr>
          <w:rFonts w:ascii="Roboto" w:eastAsia="Roboto" w:hAnsi="Roboto" w:cs="Roboto"/>
        </w:rPr>
        <w:t xml:space="preserve">+ </w:t>
      </w:r>
      <w:proofErr w:type="spellStart"/>
      <w:r>
        <w:rPr>
          <w:rFonts w:ascii="Roboto" w:eastAsia="Roboto" w:hAnsi="Roboto" w:cs="Roboto"/>
        </w:rPr>
        <w:t>Laboratories</w:t>
      </w:r>
      <w:proofErr w:type="spellEnd"/>
      <w:r>
        <w:rPr>
          <w:rFonts w:ascii="Roboto" w:eastAsia="Roboto" w:hAnsi="Roboto" w:cs="Roboto"/>
        </w:rPr>
        <w:t xml:space="preserve"> siempre apoya la industria local”.</w:t>
      </w:r>
    </w:p>
    <w:p w14:paraId="4C82E595" w14:textId="77777777" w:rsidR="00765B0C" w:rsidRDefault="00765B0C">
      <w:pPr>
        <w:shd w:val="clear" w:color="auto" w:fill="FFFFFF"/>
        <w:spacing w:after="160"/>
        <w:jc w:val="both"/>
        <w:rPr>
          <w:rFonts w:ascii="Roboto" w:eastAsia="Roboto" w:hAnsi="Roboto" w:cs="Roboto"/>
        </w:rPr>
      </w:pPr>
    </w:p>
    <w:p w14:paraId="561C9827" w14:textId="77777777" w:rsidR="00037B41" w:rsidRDefault="00765B0C">
      <w:pPr>
        <w:jc w:val="both"/>
        <w:rPr>
          <w:rFonts w:ascii="Roboto" w:eastAsia="Roboto" w:hAnsi="Roboto" w:cs="Roboto"/>
          <w:b/>
          <w:color w:val="E83544"/>
        </w:rPr>
      </w:pPr>
      <w:r>
        <w:rPr>
          <w:rFonts w:ascii="Roboto" w:eastAsia="Roboto" w:hAnsi="Roboto" w:cs="Roboto"/>
          <w:b/>
          <w:color w:val="E83544"/>
        </w:rPr>
        <w:lastRenderedPageBreak/>
        <w:t>Sobre ENAC</w:t>
      </w:r>
    </w:p>
    <w:p w14:paraId="22060369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Entidad Nacional de Acreditación – ENAC – es la entidad designada por el Gobierno para operar en España como el único Organismo Nacional de Acreditación, </w:t>
      </w:r>
      <w:r>
        <w:rPr>
          <w:rFonts w:ascii="Roboto" w:eastAsia="Roboto" w:hAnsi="Roboto" w:cs="Roboto"/>
        </w:rPr>
        <w:t xml:space="preserve">en aplicación del Reglamento (CE) </w:t>
      </w:r>
      <w:proofErr w:type="spellStart"/>
      <w:r>
        <w:rPr>
          <w:rFonts w:ascii="Roboto" w:eastAsia="Roboto" w:hAnsi="Roboto" w:cs="Roboto"/>
        </w:rPr>
        <w:t>nº</w:t>
      </w:r>
      <w:proofErr w:type="spellEnd"/>
      <w:r>
        <w:rPr>
          <w:rFonts w:ascii="Roboto" w:eastAsia="Roboto" w:hAnsi="Roboto" w:cs="Roboto"/>
        </w:rPr>
        <w:t xml:space="preserve"> 765/2008 del Parlamento Europeo que regula el funcionamiento de la acreditación en Europa.</w:t>
      </w:r>
    </w:p>
    <w:p w14:paraId="5BBD948E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F497D"/>
        </w:rPr>
        <w:t> </w:t>
      </w:r>
    </w:p>
    <w:p w14:paraId="12F8FB62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ENAC tiene como misión generar confianza en el mercado y en la sociedad evaluando, a través de un sistema conforme a normas in</w:t>
      </w:r>
      <w:r>
        <w:rPr>
          <w:rFonts w:ascii="Roboto" w:eastAsia="Roboto" w:hAnsi="Roboto" w:cs="Roboto"/>
        </w:rPr>
        <w:t>ternacionales, la competencia técnica de laboratorios de ensayo o calibración, entidades de inspección, entidades de certificación y verificadores medioambientales que desarrollen su actividad en cualquier sector: industria,  energía, medio ambiente, sanid</w:t>
      </w:r>
      <w:r>
        <w:rPr>
          <w:rFonts w:ascii="Roboto" w:eastAsia="Roboto" w:hAnsi="Roboto" w:cs="Roboto"/>
        </w:rPr>
        <w:t>ad, alimentación, investigación, desarrollo e innovación, transportes, telecomunicaciones, turismo, servicios, construcción, etc. Contribuye, así, a la seguridad y el bienestar de las personas, la calidad de los productos y servicios, la protección del med</w:t>
      </w:r>
      <w:r>
        <w:rPr>
          <w:rFonts w:ascii="Roboto" w:eastAsia="Roboto" w:hAnsi="Roboto" w:cs="Roboto"/>
        </w:rPr>
        <w:t>ioambiente y, con ello, al aumento de la competitividad de los productos y servicios españoles y a una disminución de los costes para la sociedad debidos a estas actividades. </w:t>
      </w:r>
    </w:p>
    <w:p w14:paraId="74D09260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 </w:t>
      </w:r>
    </w:p>
    <w:p w14:paraId="008C5A6D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rFonts w:ascii="Roboto" w:eastAsia="Roboto" w:hAnsi="Roboto" w:cs="Roboto"/>
        </w:rPr>
        <w:t xml:space="preserve"> en los que la marca de ENAC es reconocida y aceptada gracias a los acuerdos de reconocimiento que ENAC ha suscrito con las entidades de acreditación de esos países.</w:t>
      </w:r>
    </w:p>
    <w:p w14:paraId="2375AA4B" w14:textId="77777777" w:rsidR="00037B41" w:rsidRDefault="00037B41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7412B68B" w14:textId="77777777" w:rsidR="00037B41" w:rsidRDefault="00037B41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CF1D9CA" w14:textId="77777777" w:rsidR="00037B41" w:rsidRDefault="00765B0C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  <w:hyperlink r:id="rId13">
        <w:r>
          <w:rPr>
            <w:rFonts w:ascii="Roboto" w:eastAsia="Roboto" w:hAnsi="Roboto" w:cs="Roboto"/>
            <w:color w:val="E83544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</w:rPr>
        <w:t xml:space="preserve"> </w:t>
      </w:r>
    </w:p>
    <w:p w14:paraId="353CC9D0" w14:textId="77777777" w:rsidR="00037B41" w:rsidRDefault="00037B41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78170993" w14:textId="77777777" w:rsidR="00037B41" w:rsidRDefault="00765B0C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FF"/>
        </w:rPr>
        <w:t xml:space="preserve">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7F8A0F7F" wp14:editId="6E8167C8">
            <wp:extent cx="304800" cy="3048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</w:rPr>
        <w:t xml:space="preserve"> 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75774C2E" wp14:editId="7CB26988">
            <wp:extent cx="304800" cy="3048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74484" w14:textId="77777777" w:rsidR="00037B41" w:rsidRDefault="00037B41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2B6C3606" w14:textId="77777777" w:rsidR="00037B41" w:rsidRDefault="00037B41">
      <w:pP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71615540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Para más información sobre l</w:t>
      </w:r>
      <w:r>
        <w:rPr>
          <w:rFonts w:ascii="Roboto" w:eastAsia="Roboto" w:hAnsi="Roboto" w:cs="Roboto"/>
        </w:rPr>
        <w:t>a nota de prensa, resolver dudas o gestionar entrevistas</w:t>
      </w:r>
    </w:p>
    <w:p w14:paraId="3E10669F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Eva Martín</w:t>
      </w:r>
    </w:p>
    <w:p w14:paraId="163DAAAB" w14:textId="77777777" w:rsidR="00037B41" w:rsidRDefault="00765B0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Tfno. 628 17 49 01 / </w:t>
      </w:r>
      <w:r>
        <w:rPr>
          <w:rFonts w:ascii="Roboto" w:eastAsia="Roboto" w:hAnsi="Roboto" w:cs="Roboto"/>
          <w:color w:val="E83544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u w:val="single"/>
          </w:rPr>
          <w:t>evamc@varenga.es</w:t>
        </w:r>
      </w:hyperlink>
    </w:p>
    <w:p w14:paraId="56C931D8" w14:textId="77777777" w:rsidR="00037B41" w:rsidRDefault="00037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heading=h.gjdgxs" w:colFirst="0" w:colLast="0"/>
      <w:bookmarkEnd w:id="0"/>
    </w:p>
    <w:sectPr w:rsidR="00037B41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C266" w14:textId="77777777" w:rsidR="00000000" w:rsidRDefault="00765B0C">
      <w:pPr>
        <w:spacing w:after="0" w:line="240" w:lineRule="auto"/>
      </w:pPr>
      <w:r>
        <w:separator/>
      </w:r>
    </w:p>
  </w:endnote>
  <w:endnote w:type="continuationSeparator" w:id="0">
    <w:p w14:paraId="61BD39A7" w14:textId="77777777" w:rsidR="00000000" w:rsidRDefault="0076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E95" w14:textId="77777777" w:rsidR="00037B41" w:rsidRDefault="00765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8B1A" w14:textId="77777777" w:rsidR="00000000" w:rsidRDefault="00765B0C">
      <w:pPr>
        <w:spacing w:after="0" w:line="240" w:lineRule="auto"/>
      </w:pPr>
      <w:r>
        <w:separator/>
      </w:r>
    </w:p>
  </w:footnote>
  <w:footnote w:type="continuationSeparator" w:id="0">
    <w:p w14:paraId="5C861AAB" w14:textId="77777777" w:rsidR="00000000" w:rsidRDefault="0076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554" w14:textId="77777777" w:rsidR="00037B41" w:rsidRDefault="00765B0C">
    <w:pPr>
      <w:spacing w:after="0" w:line="240" w:lineRule="auto"/>
      <w:ind w:left="-120"/>
      <w:jc w:val="both"/>
      <w:rPr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AC08C6" wp14:editId="0ED9478F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C812C" w14:textId="77777777" w:rsidR="00037B41" w:rsidRDefault="00765B0C">
    <w:pPr>
      <w:spacing w:after="0" w:line="240" w:lineRule="auto"/>
      <w:ind w:left="-120"/>
      <w:jc w:val="both"/>
      <w:rPr>
        <w:rFonts w:ascii="Roboto" w:eastAsia="Roboto" w:hAnsi="Roboto" w:cs="Roboto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</w:rPr>
      <w:t xml:space="preserve"> </w:t>
    </w:r>
  </w:p>
  <w:p w14:paraId="18843DAB" w14:textId="77777777" w:rsidR="00037B41" w:rsidRDefault="00037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2246"/>
    <w:multiLevelType w:val="multilevel"/>
    <w:tmpl w:val="420C2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30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41"/>
    <w:rsid w:val="00037B41"/>
    <w:rsid w:val="007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3951"/>
  <w15:docId w15:val="{A0EF1D8B-2DA1-4502-B0A8-1186110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11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70DA"/>
  </w:style>
  <w:style w:type="paragraph" w:styleId="Piedepgina">
    <w:name w:val="footer"/>
    <w:basedOn w:val="Normal"/>
    <w:link w:val="PiedepginaCar"/>
    <w:uiPriority w:val="99"/>
    <w:semiHidden/>
    <w:unhideWhenUsed/>
    <w:rsid w:val="0011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70DA"/>
  </w:style>
  <w:style w:type="character" w:styleId="Refdecomentario">
    <w:name w:val="annotation reference"/>
    <w:basedOn w:val="Fuentedeprrafopredeter"/>
    <w:uiPriority w:val="99"/>
    <w:semiHidden/>
    <w:unhideWhenUsed/>
    <w:rsid w:val="001170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0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0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0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0D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170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ac.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luslaboratories.com/global/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IM9CHoXZVk8m3ehLqWVWHe+lw==">AMUW2mVXMEYkYBJ5XZtRE6MyaNU1y4LjBaYjR60wTafE5EFKE3MdLh/xaRED1kfJK4Pf5ly4g41FUXLC6UmwvT33kYj3POUaSlW/kOzoOifN7t6yGMtSbjR+VbnoC72I9H4TQ/4eYjOxVnH3U/PyQ+gHbW/tUPQHebnq0iGnqV1Y8/cVZ9791kn11exNSACQSzE4SUoKDSRdVLfFm+se0Sxzf/nj0YH9phEV6uwIJB+bIaxDdJLUrN0p9woeIJctMvHiuyVh3EVygr/bJPqwOcowgm1Ibe+iS4/xkFNbekunw9G3mo7AIFHj73KyhTLmQIxG9AWjzWqc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121A5-1FCA-4584-9C49-5E15DAB6DD1A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D3339E39-A89C-44F5-806C-63F05B076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7B0F00DF-CF48-48CB-80F3-3E01FFDB8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Denise Diaz Pozo</cp:lastModifiedBy>
  <cp:revision>2</cp:revision>
  <dcterms:created xsi:type="dcterms:W3CDTF">2022-05-18T08:27:00Z</dcterms:created>
  <dcterms:modified xsi:type="dcterms:W3CDTF">2022-05-20T11:46:00Z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