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ENAC en disposición de acreditar las actividades de verificación y validación conforme a la nueva norma UNE-EN ISO/IEC 17029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 publicación de esta norma internacional supone la extensión transversal de la actividad </w:t>
      </w:r>
      <w:r w:rsidDel="00000000" w:rsidR="00000000" w:rsidRPr="00000000">
        <w:rPr>
          <w:b w:val="1"/>
          <w:rtl w:val="0"/>
        </w:rPr>
        <w:t xml:space="preserve">de validación y verificación a cualquier sector o área de actividad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Algunas posibles aplicaciones son las relacionadas con declaraciones en el ámbito de la gestión de la energía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Madrid, 16 de noviembre de 2020.- Tras la publicación por parte de la Organización Internacional de Normalización (ISO) de la nueva norma ISO/IEC 17029:2019 sobre validación y verificación (V&amp;V),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International Accreditation Forum</w:t>
        </w:r>
      </w:hyperlink>
      <w:r w:rsidDel="00000000" w:rsidR="00000000" w:rsidRPr="00000000">
        <w:rPr>
          <w:rtl w:val="0"/>
        </w:rPr>
        <w:t xml:space="preserve"> (IAF) aprobó una resolución por la que dicha norma fue refrendada como </w:t>
      </w:r>
      <w:r w:rsidDel="00000000" w:rsidR="00000000" w:rsidRPr="00000000">
        <w:rPr>
          <w:b w:val="1"/>
          <w:rtl w:val="0"/>
        </w:rPr>
        <w:t xml:space="preserve">documento normativo de acreditación para los organismos de validación y verificación.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La publicación de esta norma internacional supone la</w:t>
      </w:r>
      <w:r w:rsidDel="00000000" w:rsidR="00000000" w:rsidRPr="00000000">
        <w:rPr>
          <w:b w:val="1"/>
          <w:rtl w:val="0"/>
        </w:rPr>
        <w:t xml:space="preserve"> extensión transversal de la actividad de validación y verificación, sin limitación alguna, a cualquier sector o área de actividad</w:t>
      </w:r>
      <w:r w:rsidDel="00000000" w:rsidR="00000000" w:rsidRPr="00000000">
        <w:rPr>
          <w:b w:val="1"/>
          <w:rtl w:val="0"/>
        </w:rPr>
        <w:t xml:space="preserve">, entre ellos el ámbito de la gestión de la energía.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Las actividades de </w:t>
      </w:r>
      <w:r w:rsidDel="00000000" w:rsidR="00000000" w:rsidRPr="00000000">
        <w:rPr>
          <w:rtl w:val="0"/>
        </w:rPr>
        <w:t xml:space="preserve">V&amp;V</w:t>
      </w:r>
      <w:r w:rsidDel="00000000" w:rsidR="00000000" w:rsidRPr="00000000">
        <w:rPr>
          <w:rtl w:val="0"/>
        </w:rPr>
        <w:t xml:space="preserve"> ya existían antes de ese momento, y </w:t>
      </w:r>
      <w:r w:rsidDel="00000000" w:rsidR="00000000" w:rsidRPr="00000000">
        <w:rPr>
          <w:rtl w:val="0"/>
        </w:rPr>
        <w:t xml:space="preserve">eran</w:t>
      </w:r>
      <w:r w:rsidDel="00000000" w:rsidR="00000000" w:rsidRPr="00000000">
        <w:rPr>
          <w:rtl w:val="0"/>
        </w:rPr>
        <w:t xml:space="preserve"> acreditadas, pero su aplicación se encontraba limitada a las actividades de gases de efecto invernadero, de acuerdo con el alcance y el título de la norma internacional utilizada para acreditación ISO 14065:2013.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La norma ISO 17029 contiene los requisitos y principios generales para la competencia, imparcialidad y el funcionamiento de los organismos que realizan la validación y verificación como actividades de evaluación de la conformidad de cualquier sector, área o ámbito de actividad.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La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Entidad Nacional de Acreditación</w:t>
        </w:r>
      </w:hyperlink>
      <w:r w:rsidDel="00000000" w:rsidR="00000000" w:rsidRPr="00000000">
        <w:rPr>
          <w:rtl w:val="0"/>
        </w:rPr>
        <w:t xml:space="preserve"> (ENAC) </w:t>
      </w:r>
      <w:r w:rsidDel="00000000" w:rsidR="00000000" w:rsidRPr="00000000">
        <w:rPr>
          <w:rtl w:val="0"/>
        </w:rPr>
        <w:t xml:space="preserve">ha publicado en su página web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los documentos relativos al proceso de acreditación de este nuevo esquema</w:t>
        </w:r>
      </w:hyperlink>
      <w:r w:rsidDel="00000000" w:rsidR="00000000" w:rsidRPr="00000000">
        <w:rPr>
          <w:rtl w:val="0"/>
        </w:rPr>
        <w:t xml:space="preserve"> y se encuentra en disposición de acreditar a aquellas entidades interesadas.</w:t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 de validación y verificación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La actividad de validación y verificación es aplicable a declaraciones o información declarada por una parte (persona, grupo de personas u organización) que mantiene la total responsabilidad sobre su contenido. El valor añadido que aportan la validación y la verificación consiste en la confirmación o aseguramiento de la confiabilidad del contenido en dicha declaración a través de la obtención de pruebas</w:t>
      </w:r>
      <w:r w:rsidDel="00000000" w:rsidR="00000000" w:rsidRPr="00000000">
        <w:rPr>
          <w:rtl w:val="0"/>
        </w:rPr>
        <w:t xml:space="preserve"> o evidencias objetivas, haciendo uso del proceso de </w:t>
      </w:r>
      <w:r w:rsidDel="00000000" w:rsidR="00000000" w:rsidRPr="00000000">
        <w:rPr>
          <w:rtl w:val="0"/>
        </w:rPr>
        <w:t xml:space="preserve">V&amp;V</w:t>
      </w:r>
      <w:r w:rsidDel="00000000" w:rsidR="00000000" w:rsidRPr="00000000">
        <w:rPr>
          <w:rtl w:val="0"/>
        </w:rPr>
        <w:t xml:space="preserve">, de que se han cumplido los requisitos especificados para la declaración.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La norma diferencia con claridad los términos validación y verificación. Mientras que la validación se aplica a las declaraciones que hacen referencia a hechos o eventos con un uso previsto futuro o un resultado proyectado (verosimilitud), la verificación es aplicable a las declaraciones que aluden a hechos que ya han ocurrido o a resultados que ya se han obtenido (veracidad).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La validación y la verificación son, por tanto, herramientas que proporcionan aseguramiento y dan confianza a los usuarios previstos (aquellos que usarán esa información para tomar sus decisiones, como propietarios de programas, administraciones, consumidores y público en general y otras partes interesadas) respecto de lo manifestado en la declaración o información declarada.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Dado que los requisitos contenidos en la norma ISO 17029 son genéricos, es necesario que el verificador o validador opere bajo un esquema o programa de validación o verificación particular. Dicho esquema podría especificar, adicionalmente a lo contenido en la norma, las definiciones, principios, reglas, procesos y requisitos para los procesos de validación y verificación, así como la competencia de los validadores y verificadores de un sector específico.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La norma aclara que no pueden ser objeto de validación o verificación los resultados de otras actividades de evaluación de la conformidad, por ejemplo, un acta de inspección, un informe de ensayo o un certificado del tipo que sea. Tampoco lo son las situaciones en las que las actividades de validación o verificación se llevan a cabo como etapas dentro de otro proceso de evaluación de la conformidad, por ejemplo, la validación de métodos de ensayo de acuerdo con lo establecido por ISO 17025.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Algunas posibles aplicaciones de la verificación o validación son las relacionadas con declaraciones en el ámbito de la gestión de la energía, las tecnologías de construcción, la gestión financiera, los sistemas de automatización industrial, ingeniería de sistemas y software, inteligencia artificial, la tecnología de la información, los productos para el cuidado de la salud y dispositivos médicos, ingeniería de seguridad y diseño, responsabilidad social, etc.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Por otra parte, la verificación acreditada en el campo de gases de efecto invernadero se mantendrá bajo la norma ISO 14065:2013 hasta que esta norma sea sustituida por la futura ISO 14065, cuyo alcance definitivo deberá entonces ser confirmado. </w:t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Sobre ENAC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Entidad Nacional de Acreditación – ENAC – es la entidad  designada por el Gobierno para operar en España como el único Organismo Nacional de Acreditación, en aplicación del Reglamento (CE) nº 765/2008 del Parlamento Europeo que regula el funcionamiento de la acreditación en Europa.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ENAC tiene como misión generar confianza en el mercado y en la sociedad evaluando, a través de un sistema conforme a normas internacionales, la competencia técnica de laboratorios de ensayo o calibración, entidades de inspección, entidades de certificación y verificadores medioambientales que desarrollen su actividad en cualquier sector: industria,  energía, medio ambiente, sanidad, alimentación, investigación, desarrollo e innovación, transportes, telecomunicaciones, turismo, servicios, construcción, etc. Contribuye, así, a la seguridad y el bienestar de las personas, la calidad de los productos y servicios, la protección del medioambiente y, con ello, al aumento de la competitividad de los productos y servicios españoles y a una disminución de los costes para la sociedad debidos a estas actividades. 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marca ENAC es la manera de distinguir si un certificado o informe está acreditado o no. Es la garantía de que la organización que lo emite es técnicamente competente para llevar a cabo la tarea que realiza, y lo es tanto en España como en los 100 países en los que la marca de ENAC es reconocida y aceptada gracias a los acuerdos de reconocimiento que ENAC ha suscrito con las entidades de acreditación de esos países.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www.enac.es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Para más información sobre la nota de prensa, resolver dudas o gestionar entrevistas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Eva Martín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Tfno. 628 17 49 01 / 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evamc@varenga.es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40"/>
        <w:szCs w:val="40"/>
      </w:rPr>
    </w:pPr>
    <w:r w:rsidDel="00000000" w:rsidR="00000000" w:rsidRPr="00000000">
      <w:rPr>
        <w:b w:val="1"/>
        <w:color w:val="000000"/>
        <w:sz w:val="40"/>
        <w:szCs w:val="40"/>
        <w:rtl w:val="0"/>
      </w:rPr>
      <w:t xml:space="preserve">NOTA DE PRENSA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4530090</wp:posOffset>
          </wp:positionH>
          <wp:positionV relativeFrom="paragraph">
            <wp:posOffset>-297177</wp:posOffset>
          </wp:positionV>
          <wp:extent cx="1324610" cy="7334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461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evamc@varenga.es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enac.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af.nu/" TargetMode="External"/><Relationship Id="rId7" Type="http://schemas.openxmlformats.org/officeDocument/2006/relationships/hyperlink" Target="http://www.enac.es" TargetMode="External"/><Relationship Id="rId8" Type="http://schemas.openxmlformats.org/officeDocument/2006/relationships/hyperlink" Target="https://www.enac.es/web/enac/documentos/documento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