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7A14" w:rsidRDefault="007F7A14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00000002" w14:textId="77777777" w:rsidR="007F7A14" w:rsidRDefault="00E610E8">
      <w:pPr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b/>
          <w:sz w:val="30"/>
          <w:szCs w:val="30"/>
        </w:rPr>
        <w:t>ISC-</w:t>
      </w:r>
      <w:proofErr w:type="spellStart"/>
      <w:r>
        <w:rPr>
          <w:rFonts w:ascii="Roboto" w:eastAsia="Roboto" w:hAnsi="Roboto" w:cs="Roboto"/>
          <w:b/>
          <w:sz w:val="30"/>
          <w:szCs w:val="30"/>
        </w:rPr>
        <w:t>Science</w:t>
      </w:r>
      <w:proofErr w:type="spellEnd"/>
      <w:r>
        <w:rPr>
          <w:rFonts w:ascii="Roboto" w:eastAsia="Roboto" w:hAnsi="Roboto" w:cs="Roboto"/>
          <w:b/>
          <w:sz w:val="30"/>
          <w:szCs w:val="30"/>
        </w:rPr>
        <w:t>, primer productor acreditado</w:t>
      </w:r>
      <w:r>
        <w:rPr>
          <w:rFonts w:ascii="Roboto" w:eastAsia="Roboto" w:hAnsi="Roboto" w:cs="Roboto"/>
          <w:b/>
          <w:color w:val="E83544"/>
          <w:sz w:val="30"/>
          <w:szCs w:val="30"/>
        </w:rPr>
        <w:t xml:space="preserve"> </w:t>
      </w:r>
      <w:r>
        <w:rPr>
          <w:rFonts w:ascii="Roboto" w:eastAsia="Roboto" w:hAnsi="Roboto" w:cs="Roboto"/>
          <w:b/>
          <w:sz w:val="30"/>
          <w:szCs w:val="30"/>
        </w:rPr>
        <w:t>por ENAC para materiales de referencia en el ámbito de aguas de consumo</w:t>
      </w:r>
    </w:p>
    <w:p w14:paraId="00000003" w14:textId="77777777" w:rsidR="007F7A14" w:rsidRDefault="00E610E8">
      <w:pPr>
        <w:shd w:val="clear" w:color="auto" w:fill="FFFFFF"/>
        <w:ind w:left="72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00000004" w14:textId="20F12C50" w:rsidR="007F7A14" w:rsidRDefault="3D295B70" w:rsidP="3D295B70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bCs/>
          <w:sz w:val="20"/>
          <w:szCs w:val="20"/>
        </w:rPr>
      </w:pPr>
      <w:r w:rsidRPr="3D295B70">
        <w:rPr>
          <w:rFonts w:ascii="Roboto" w:eastAsia="Roboto" w:hAnsi="Roboto" w:cs="Roboto"/>
          <w:b/>
          <w:bCs/>
          <w:sz w:val="20"/>
          <w:szCs w:val="20"/>
        </w:rPr>
        <w:t>“El reconocimiento que aporta la acreditación de ENAC, así como los acuerdos internacionales de reconocimiento, a nuestros productos y a los laboratorios que hacen uso de ellos contribuye a aportar una solución única a nivel global”, Julio Rodríguez Fernández, gerente de ISC-</w:t>
      </w:r>
      <w:proofErr w:type="spellStart"/>
      <w:r w:rsidRPr="3D295B70">
        <w:rPr>
          <w:rFonts w:ascii="Roboto" w:eastAsia="Roboto" w:hAnsi="Roboto" w:cs="Roboto"/>
          <w:b/>
          <w:bCs/>
          <w:sz w:val="20"/>
          <w:szCs w:val="20"/>
        </w:rPr>
        <w:t>Science</w:t>
      </w:r>
      <w:proofErr w:type="spellEnd"/>
      <w:r w:rsidRPr="3D295B70">
        <w:rPr>
          <w:rFonts w:ascii="Roboto" w:eastAsia="Roboto" w:hAnsi="Roboto" w:cs="Roboto"/>
          <w:b/>
          <w:bCs/>
          <w:sz w:val="20"/>
          <w:szCs w:val="20"/>
        </w:rPr>
        <w:t xml:space="preserve"> </w:t>
      </w:r>
    </w:p>
    <w:p w14:paraId="00000005" w14:textId="77777777" w:rsidR="007F7A14" w:rsidRDefault="007F7A14">
      <w:pPr>
        <w:ind w:left="72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06" w14:textId="2EC8409B" w:rsidR="007F7A14" w:rsidRDefault="00E610E8">
      <w:pPr>
        <w:numPr>
          <w:ilvl w:val="0"/>
          <w:numId w:val="1"/>
        </w:numPr>
        <w:jc w:val="both"/>
        <w:rPr>
          <w:rFonts w:ascii="Roboto" w:eastAsia="Roboto" w:hAnsi="Roboto" w:cs="Roboto"/>
          <w:sz w:val="20"/>
          <w:szCs w:val="20"/>
        </w:rPr>
      </w:pPr>
      <w:r w:rsidRPr="6AD0D62B">
        <w:rPr>
          <w:rFonts w:ascii="Roboto" w:eastAsia="Roboto" w:hAnsi="Roboto" w:cs="Roboto"/>
          <w:b/>
          <w:bCs/>
          <w:sz w:val="20"/>
          <w:szCs w:val="20"/>
        </w:rPr>
        <w:t>Las aguas de consumo son una fuente potencial de exposición del ser humano a numerosos contam</w:t>
      </w:r>
      <w:r w:rsidRPr="6AD0D62B">
        <w:rPr>
          <w:rFonts w:ascii="Roboto" w:eastAsia="Roboto" w:hAnsi="Roboto" w:cs="Roboto"/>
          <w:b/>
          <w:bCs/>
          <w:sz w:val="20"/>
          <w:szCs w:val="20"/>
        </w:rPr>
        <w:t>inantes, por lo que asegurar su calidad es esencial</w:t>
      </w:r>
    </w:p>
    <w:p w14:paraId="00000007" w14:textId="77777777" w:rsidR="007F7A14" w:rsidRDefault="00E610E8">
      <w:pPr>
        <w:ind w:left="720"/>
        <w:jc w:val="both"/>
        <w:rPr>
          <w:rFonts w:ascii="Roboto" w:eastAsia="Roboto" w:hAnsi="Roboto" w:cs="Roboto"/>
          <w:color w:val="1F497D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 xml:space="preserve"> </w:t>
      </w:r>
    </w:p>
    <w:p w14:paraId="00000008" w14:textId="025A1EC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 w:rsidRPr="454BD9F9">
        <w:rPr>
          <w:rFonts w:ascii="Roboto" w:eastAsia="Roboto" w:hAnsi="Roboto" w:cs="Roboto"/>
          <w:sz w:val="22"/>
          <w:szCs w:val="22"/>
        </w:rPr>
        <w:t xml:space="preserve">Madrid, </w:t>
      </w:r>
      <w:r w:rsidR="57D0EC55" w:rsidRPr="454BD9F9">
        <w:rPr>
          <w:rFonts w:ascii="Roboto" w:eastAsia="Roboto" w:hAnsi="Roboto" w:cs="Roboto"/>
          <w:sz w:val="22"/>
          <w:szCs w:val="22"/>
        </w:rPr>
        <w:t>0</w:t>
      </w:r>
      <w:r w:rsidR="2A693C21" w:rsidRPr="454BD9F9">
        <w:rPr>
          <w:rFonts w:ascii="Roboto" w:eastAsia="Roboto" w:hAnsi="Roboto" w:cs="Roboto"/>
          <w:sz w:val="22"/>
          <w:szCs w:val="22"/>
        </w:rPr>
        <w:t>6</w:t>
      </w:r>
      <w:r w:rsidR="57D0EC55" w:rsidRPr="454BD9F9">
        <w:rPr>
          <w:rFonts w:ascii="Roboto" w:eastAsia="Roboto" w:hAnsi="Roboto" w:cs="Roboto"/>
          <w:sz w:val="22"/>
          <w:szCs w:val="22"/>
        </w:rPr>
        <w:t xml:space="preserve"> </w:t>
      </w:r>
      <w:r w:rsidRPr="454BD9F9">
        <w:rPr>
          <w:rFonts w:ascii="Roboto" w:eastAsia="Roboto" w:hAnsi="Roboto" w:cs="Roboto"/>
          <w:sz w:val="22"/>
          <w:szCs w:val="22"/>
        </w:rPr>
        <w:t xml:space="preserve">de septiembre de 2022. – La </w:t>
      </w:r>
      <w:hyperlink r:id="rId10" w:history="1">
        <w:r w:rsidRPr="454BD9F9">
          <w:rPr>
            <w:rFonts w:ascii="Roboto" w:eastAsia="Roboto" w:hAnsi="Roboto" w:cs="Roboto"/>
            <w:sz w:val="22"/>
            <w:szCs w:val="22"/>
          </w:rPr>
          <w:t>Entidad Nacional de Acreditación</w:t>
        </w:r>
      </w:hyperlink>
      <w:r w:rsidRPr="454BD9F9">
        <w:rPr>
          <w:rFonts w:ascii="Roboto" w:eastAsia="Roboto" w:hAnsi="Roboto" w:cs="Roboto"/>
          <w:sz w:val="22"/>
          <w:szCs w:val="22"/>
        </w:rPr>
        <w:t xml:space="preserve"> (ENAC) ha concedido a </w:t>
      </w:r>
      <w:r w:rsidRPr="454BD9F9">
        <w:rPr>
          <w:rFonts w:ascii="Roboto" w:eastAsia="Roboto" w:hAnsi="Roboto" w:cs="Roboto"/>
          <w:b/>
          <w:bCs/>
          <w:sz w:val="22"/>
          <w:szCs w:val="22"/>
        </w:rPr>
        <w:t xml:space="preserve">Innovative </w:t>
      </w:r>
      <w:proofErr w:type="spellStart"/>
      <w:r w:rsidRPr="454BD9F9">
        <w:rPr>
          <w:rFonts w:ascii="Roboto" w:eastAsia="Roboto" w:hAnsi="Roboto" w:cs="Roboto"/>
          <w:b/>
          <w:bCs/>
          <w:sz w:val="22"/>
          <w:szCs w:val="22"/>
        </w:rPr>
        <w:t>Solutions</w:t>
      </w:r>
      <w:proofErr w:type="spellEnd"/>
      <w:r w:rsidRPr="454BD9F9">
        <w:rPr>
          <w:rFonts w:ascii="Roboto" w:eastAsia="Roboto" w:hAnsi="Roboto" w:cs="Roboto"/>
          <w:b/>
          <w:bCs/>
          <w:sz w:val="22"/>
          <w:szCs w:val="22"/>
        </w:rPr>
        <w:t xml:space="preserve"> in </w:t>
      </w:r>
      <w:proofErr w:type="spellStart"/>
      <w:r w:rsidRPr="454BD9F9">
        <w:rPr>
          <w:rFonts w:ascii="Roboto" w:eastAsia="Roboto" w:hAnsi="Roboto" w:cs="Roboto"/>
          <w:b/>
          <w:bCs/>
          <w:sz w:val="22"/>
          <w:szCs w:val="22"/>
        </w:rPr>
        <w:t>Chemistry</w:t>
      </w:r>
      <w:proofErr w:type="spellEnd"/>
      <w:r w:rsidRPr="454BD9F9">
        <w:rPr>
          <w:rFonts w:ascii="Roboto" w:eastAsia="Roboto" w:hAnsi="Roboto" w:cs="Roboto"/>
          <w:b/>
          <w:bCs/>
          <w:sz w:val="22"/>
          <w:szCs w:val="22"/>
        </w:rPr>
        <w:t xml:space="preserve"> </w:t>
      </w:r>
      <w:r w:rsidRPr="454BD9F9">
        <w:rPr>
          <w:rFonts w:ascii="Roboto" w:eastAsia="Roboto" w:hAnsi="Roboto" w:cs="Roboto"/>
          <w:sz w:val="22"/>
          <w:szCs w:val="22"/>
        </w:rPr>
        <w:t>(ISC-</w:t>
      </w:r>
      <w:proofErr w:type="spellStart"/>
      <w:r w:rsidRPr="454BD9F9">
        <w:rPr>
          <w:rFonts w:ascii="Roboto" w:eastAsia="Roboto" w:hAnsi="Roboto" w:cs="Roboto"/>
          <w:sz w:val="22"/>
          <w:szCs w:val="22"/>
        </w:rPr>
        <w:t>Science</w:t>
      </w:r>
      <w:proofErr w:type="spellEnd"/>
      <w:r w:rsidRPr="454BD9F9">
        <w:rPr>
          <w:rFonts w:ascii="Roboto" w:eastAsia="Roboto" w:hAnsi="Roboto" w:cs="Roboto"/>
          <w:sz w:val="22"/>
          <w:szCs w:val="22"/>
        </w:rPr>
        <w:t xml:space="preserve">) la </w:t>
      </w:r>
      <w:r w:rsidRPr="454BD9F9">
        <w:rPr>
          <w:rFonts w:ascii="Roboto" w:eastAsia="Roboto" w:hAnsi="Roboto" w:cs="Roboto"/>
          <w:sz w:val="22"/>
          <w:szCs w:val="22"/>
        </w:rPr>
        <w:t>acreditación como productor de materiales de referencia conforme a la norma ISO 17034, convirtiéndose en el</w:t>
      </w:r>
      <w:r w:rsidRPr="454BD9F9">
        <w:rPr>
          <w:rFonts w:ascii="Roboto" w:eastAsia="Roboto" w:hAnsi="Roboto" w:cs="Roboto"/>
          <w:b/>
          <w:bCs/>
          <w:sz w:val="22"/>
          <w:szCs w:val="22"/>
        </w:rPr>
        <w:t xml:space="preserve"> primer proveedor de materiales de referencia en el ámbito de análisis químicos de aguas, en concreto de disoluciones </w:t>
      </w:r>
      <w:proofErr w:type="spellStart"/>
      <w:r w:rsidRPr="454BD9F9">
        <w:rPr>
          <w:rFonts w:ascii="Roboto" w:eastAsia="Roboto" w:hAnsi="Roboto" w:cs="Roboto"/>
          <w:b/>
          <w:bCs/>
          <w:sz w:val="22"/>
          <w:szCs w:val="22"/>
        </w:rPr>
        <w:t>multielementales</w:t>
      </w:r>
      <w:proofErr w:type="spellEnd"/>
      <w:r w:rsidRPr="454BD9F9">
        <w:rPr>
          <w:rFonts w:ascii="Roboto" w:eastAsia="Roboto" w:hAnsi="Roboto" w:cs="Roboto"/>
          <w:b/>
          <w:bCs/>
          <w:sz w:val="22"/>
          <w:szCs w:val="22"/>
        </w:rPr>
        <w:t xml:space="preserve"> en aguas limpi</w:t>
      </w:r>
      <w:r w:rsidRPr="454BD9F9">
        <w:rPr>
          <w:rFonts w:ascii="Roboto" w:eastAsia="Roboto" w:hAnsi="Roboto" w:cs="Roboto"/>
          <w:b/>
          <w:bCs/>
          <w:sz w:val="22"/>
          <w:szCs w:val="22"/>
        </w:rPr>
        <w:t>as, entre las que se incluyen las aguas destinadas a consumo humano.</w:t>
      </w:r>
      <w:r w:rsidRPr="454BD9F9">
        <w:rPr>
          <w:rFonts w:ascii="Roboto" w:eastAsia="Roboto" w:hAnsi="Roboto" w:cs="Roboto"/>
          <w:sz w:val="22"/>
          <w:szCs w:val="22"/>
        </w:rPr>
        <w:t xml:space="preserve"> La ampliación del alcance de acreditación de ISC-</w:t>
      </w:r>
      <w:proofErr w:type="spellStart"/>
      <w:r w:rsidRPr="454BD9F9">
        <w:rPr>
          <w:rFonts w:ascii="Roboto" w:eastAsia="Roboto" w:hAnsi="Roboto" w:cs="Roboto"/>
          <w:sz w:val="22"/>
          <w:szCs w:val="22"/>
        </w:rPr>
        <w:t>Science</w:t>
      </w:r>
      <w:proofErr w:type="spellEnd"/>
      <w:r w:rsidRPr="454BD9F9">
        <w:rPr>
          <w:rFonts w:ascii="Roboto" w:eastAsia="Roboto" w:hAnsi="Roboto" w:cs="Roboto"/>
          <w:sz w:val="22"/>
          <w:szCs w:val="22"/>
        </w:rPr>
        <w:t xml:space="preserve"> como productor de materiales de referencia certificados pone al alcance de los laboratorios una eficaz herramienta, para facilitar</w:t>
      </w:r>
      <w:r w:rsidRPr="454BD9F9">
        <w:rPr>
          <w:rFonts w:ascii="Roboto" w:eastAsia="Roboto" w:hAnsi="Roboto" w:cs="Roboto"/>
          <w:sz w:val="22"/>
          <w:szCs w:val="22"/>
        </w:rPr>
        <w:t xml:space="preserve"> la trazabilidad de sus resultados en el análisis de estos elementos.</w:t>
      </w:r>
    </w:p>
    <w:p w14:paraId="00000009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A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 w:rsidRPr="6AD0D62B">
        <w:rPr>
          <w:rFonts w:ascii="Roboto" w:eastAsia="Roboto" w:hAnsi="Roboto" w:cs="Roboto"/>
          <w:sz w:val="22"/>
          <w:szCs w:val="22"/>
        </w:rPr>
        <w:t>“La obtención de la acreditación ENAC como productores de materiales de referencia viene a reafirmar la apuesta que, desde sus inicios, ISC-</w:t>
      </w:r>
      <w:proofErr w:type="spellStart"/>
      <w:r w:rsidRPr="6AD0D62B">
        <w:rPr>
          <w:rFonts w:ascii="Roboto" w:eastAsia="Roboto" w:hAnsi="Roboto" w:cs="Roboto"/>
          <w:sz w:val="22"/>
          <w:szCs w:val="22"/>
        </w:rPr>
        <w:t>Science</w:t>
      </w:r>
      <w:proofErr w:type="spellEnd"/>
      <w:r w:rsidRPr="6AD0D62B">
        <w:rPr>
          <w:rFonts w:ascii="Roboto" w:eastAsia="Roboto" w:hAnsi="Roboto" w:cs="Roboto"/>
          <w:sz w:val="22"/>
          <w:szCs w:val="22"/>
        </w:rPr>
        <w:t xml:space="preserve"> ha realizado para convertirse en un r</w:t>
      </w:r>
      <w:r w:rsidRPr="6AD0D62B">
        <w:rPr>
          <w:rFonts w:ascii="Roboto" w:eastAsia="Roboto" w:hAnsi="Roboto" w:cs="Roboto"/>
          <w:sz w:val="22"/>
          <w:szCs w:val="22"/>
        </w:rPr>
        <w:t>eferente nacional e internacional, contribuyendo a aportar soluciones a los problemas que diariamente se presentan en los laboratorios de ensayo acreditados conforme a ISO 17025 y a mejorar las prestaciones analíticas de sus métodos de ensayo”, destaca Jul</w:t>
      </w:r>
      <w:r w:rsidRPr="6AD0D62B">
        <w:rPr>
          <w:rFonts w:ascii="Roboto" w:eastAsia="Roboto" w:hAnsi="Roboto" w:cs="Roboto"/>
          <w:sz w:val="22"/>
          <w:szCs w:val="22"/>
        </w:rPr>
        <w:t>io Rodríguez Fernández, gerente de ISC-</w:t>
      </w:r>
      <w:proofErr w:type="spellStart"/>
      <w:r w:rsidRPr="6AD0D62B">
        <w:rPr>
          <w:rFonts w:ascii="Roboto" w:eastAsia="Roboto" w:hAnsi="Roboto" w:cs="Roboto"/>
          <w:sz w:val="22"/>
          <w:szCs w:val="22"/>
        </w:rPr>
        <w:t>Science</w:t>
      </w:r>
      <w:proofErr w:type="spellEnd"/>
      <w:r w:rsidRPr="6AD0D62B">
        <w:rPr>
          <w:rFonts w:ascii="Roboto" w:eastAsia="Roboto" w:hAnsi="Roboto" w:cs="Roboto"/>
          <w:sz w:val="22"/>
          <w:szCs w:val="22"/>
        </w:rPr>
        <w:t>.</w:t>
      </w:r>
    </w:p>
    <w:p w14:paraId="0000000B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C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Asimismo, el directivo destaca el valor que aporta la acreditación en el mercado global: “El reconocimiento que aportan la acreditación ENAC y su marca, así como los acuerdos internacionales de reconocimient</w:t>
      </w:r>
      <w:r>
        <w:rPr>
          <w:rFonts w:ascii="Roboto" w:eastAsia="Roboto" w:hAnsi="Roboto" w:cs="Roboto"/>
          <w:sz w:val="22"/>
          <w:szCs w:val="22"/>
        </w:rPr>
        <w:t xml:space="preserve">o, a nuestros productos y a los laboratorios que hacen uso de ellos contribuye a aportar una solución única a nivel global”, añade. </w:t>
      </w:r>
    </w:p>
    <w:p w14:paraId="0000000D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E" w14:textId="77777777" w:rsidR="007F7A14" w:rsidRDefault="00E610E8">
      <w:p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Materiales de referencia al servicio del control del agua</w:t>
      </w:r>
    </w:p>
    <w:p w14:paraId="0000000F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0" w14:textId="49A295D4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 w:rsidRPr="6AD0D62B">
        <w:rPr>
          <w:rFonts w:ascii="Roboto" w:eastAsia="Roboto" w:hAnsi="Roboto" w:cs="Roboto"/>
          <w:sz w:val="22"/>
          <w:szCs w:val="22"/>
        </w:rPr>
        <w:t xml:space="preserve">Las </w:t>
      </w:r>
      <w:r w:rsidRPr="6AD0D62B">
        <w:rPr>
          <w:rFonts w:ascii="Roboto" w:eastAsia="Roboto" w:hAnsi="Roboto" w:cs="Roboto"/>
          <w:b/>
          <w:bCs/>
          <w:sz w:val="22"/>
          <w:szCs w:val="22"/>
        </w:rPr>
        <w:t>aguas de consumo son una fuente potencial de exposición del</w:t>
      </w:r>
      <w:r w:rsidRPr="6AD0D62B">
        <w:rPr>
          <w:rFonts w:ascii="Roboto" w:eastAsia="Roboto" w:hAnsi="Roboto" w:cs="Roboto"/>
          <w:b/>
          <w:bCs/>
          <w:sz w:val="22"/>
          <w:szCs w:val="22"/>
        </w:rPr>
        <w:t xml:space="preserve"> ser humano a numerosos contaminantes, por lo que asegurar su calidad es esencial. </w:t>
      </w:r>
      <w:r w:rsidRPr="6AD0D62B">
        <w:rPr>
          <w:rFonts w:ascii="Roboto" w:eastAsia="Roboto" w:hAnsi="Roboto" w:cs="Roboto"/>
          <w:sz w:val="22"/>
          <w:szCs w:val="22"/>
        </w:rPr>
        <w:t xml:space="preserve">En este sentido Franco Daniel </w:t>
      </w:r>
      <w:proofErr w:type="spellStart"/>
      <w:r w:rsidRPr="6AD0D62B">
        <w:rPr>
          <w:rFonts w:ascii="Roboto" w:eastAsia="Roboto" w:hAnsi="Roboto" w:cs="Roboto"/>
          <w:sz w:val="22"/>
          <w:szCs w:val="22"/>
        </w:rPr>
        <w:t>D’Amico</w:t>
      </w:r>
      <w:proofErr w:type="spellEnd"/>
      <w:r w:rsidRPr="6AD0D62B">
        <w:rPr>
          <w:rFonts w:ascii="Roboto" w:eastAsia="Roboto" w:hAnsi="Roboto" w:cs="Roboto"/>
          <w:sz w:val="22"/>
          <w:szCs w:val="22"/>
        </w:rPr>
        <w:t>, responsable de Calidad de ISC-</w:t>
      </w:r>
      <w:proofErr w:type="spellStart"/>
      <w:r w:rsidRPr="6AD0D62B">
        <w:rPr>
          <w:rFonts w:ascii="Roboto" w:eastAsia="Roboto" w:hAnsi="Roboto" w:cs="Roboto"/>
          <w:sz w:val="22"/>
          <w:szCs w:val="22"/>
        </w:rPr>
        <w:t>Science</w:t>
      </w:r>
      <w:proofErr w:type="spellEnd"/>
      <w:r w:rsidRPr="6AD0D62B">
        <w:rPr>
          <w:rFonts w:ascii="Roboto" w:eastAsia="Roboto" w:hAnsi="Roboto" w:cs="Roboto"/>
          <w:sz w:val="22"/>
          <w:szCs w:val="22"/>
        </w:rPr>
        <w:t>, explica que, “en los últimos años, se ha llevado a cabo una importante innovación tecnológica en los laboratorios de control y de investigación de las empresas españolas, y el desarrollo de las técnicas analíticas modernas ha dado más importancia a la di</w:t>
      </w:r>
      <w:r w:rsidRPr="6AD0D62B">
        <w:rPr>
          <w:rFonts w:ascii="Roboto" w:eastAsia="Roboto" w:hAnsi="Roboto" w:cs="Roboto"/>
          <w:sz w:val="22"/>
          <w:szCs w:val="22"/>
        </w:rPr>
        <w:t xml:space="preserve">sponibilidad de materiales de referencia certificados”. </w:t>
      </w:r>
    </w:p>
    <w:p w14:paraId="00000011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2" w14:textId="384CDB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 w:rsidRPr="6AD0D62B">
        <w:rPr>
          <w:rFonts w:ascii="Roboto" w:eastAsia="Roboto" w:hAnsi="Roboto" w:cs="Roboto"/>
          <w:sz w:val="22"/>
          <w:szCs w:val="22"/>
        </w:rPr>
        <w:t>Sin embargo, hoy en día, los Materiales de Referencia Certificados en el campo medioambiental que se pueden encontrar comercialmente siguen siendo muy limitados. “Estos materiales no abarcan todos l</w:t>
      </w:r>
      <w:r w:rsidRPr="6AD0D62B">
        <w:rPr>
          <w:rFonts w:ascii="Roboto" w:eastAsia="Roboto" w:hAnsi="Roboto" w:cs="Roboto"/>
          <w:sz w:val="22"/>
          <w:szCs w:val="22"/>
        </w:rPr>
        <w:t xml:space="preserve">os parámetros que un laboratorio precisa medir en muestras medioambientales, por lo que están obligados a adquirir varios materiales diferentes para un mismo tipo de muestra, lo que conlleva un gasto muy elevado para los laboratorios”, añade Franco Daniel </w:t>
      </w:r>
      <w:proofErr w:type="spellStart"/>
      <w:r w:rsidRPr="6AD0D62B">
        <w:rPr>
          <w:rFonts w:ascii="Roboto" w:eastAsia="Roboto" w:hAnsi="Roboto" w:cs="Roboto"/>
          <w:sz w:val="22"/>
          <w:szCs w:val="22"/>
        </w:rPr>
        <w:t>D’Amico</w:t>
      </w:r>
      <w:proofErr w:type="spellEnd"/>
      <w:r w:rsidRPr="6AD0D62B">
        <w:rPr>
          <w:rFonts w:ascii="Roboto" w:eastAsia="Roboto" w:hAnsi="Roboto" w:cs="Roboto"/>
          <w:sz w:val="22"/>
          <w:szCs w:val="22"/>
        </w:rPr>
        <w:t>.</w:t>
      </w:r>
    </w:p>
    <w:p w14:paraId="00000013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4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5" w14:textId="77777777" w:rsidR="007F7A14" w:rsidRDefault="00E610E8">
      <w:p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Por qué confiar en productores de materiales de referencia acreditados</w:t>
      </w:r>
    </w:p>
    <w:p w14:paraId="00000016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7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Los materiales de referencia son una</w:t>
      </w:r>
      <w:r>
        <w:rPr>
          <w:rFonts w:ascii="Roboto" w:eastAsia="Roboto" w:hAnsi="Roboto" w:cs="Roboto"/>
          <w:b/>
          <w:sz w:val="22"/>
          <w:szCs w:val="22"/>
        </w:rPr>
        <w:t xml:space="preserve"> herramienta fundamental para aportar fiabilidad a los resultados emitidos por parte de los laboratorios de ensayo y calibración,</w:t>
      </w:r>
      <w:r>
        <w:rPr>
          <w:rFonts w:ascii="Roboto" w:eastAsia="Roboto" w:hAnsi="Roboto" w:cs="Roboto"/>
          <w:sz w:val="22"/>
          <w:szCs w:val="22"/>
        </w:rPr>
        <w:t xml:space="preserve"> que pue</w:t>
      </w:r>
      <w:r>
        <w:rPr>
          <w:rFonts w:ascii="Roboto" w:eastAsia="Roboto" w:hAnsi="Roboto" w:cs="Roboto"/>
          <w:sz w:val="22"/>
          <w:szCs w:val="22"/>
        </w:rPr>
        <w:t xml:space="preserve">den hacer uso de ellos para calibrar, validar métodos, estimar su incertidumbre, verificar el buen funcionamiento de un determinado método o para realizar controles de calidad rutinarios. </w:t>
      </w:r>
    </w:p>
    <w:p w14:paraId="00000018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9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 cualquiera de sus posibles usos, para asegurar la calidad de los materiales de referencia es conveniente que los laboratorios confíen en productores competentes, siendo la acreditación la herramienta establecida a escala internacional para lograr la con</w:t>
      </w:r>
      <w:r>
        <w:rPr>
          <w:rFonts w:ascii="Roboto" w:eastAsia="Roboto" w:hAnsi="Roboto" w:cs="Roboto"/>
          <w:sz w:val="22"/>
          <w:szCs w:val="22"/>
        </w:rPr>
        <w:t xml:space="preserve">fianza y credibilidad necesarias. Los criterios de acreditación establecidos para evaluar a los productores de materiales de referencia están definidos en la norma ISO 17034. </w:t>
      </w:r>
    </w:p>
    <w:p w14:paraId="0000001A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B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Además, ENAC es firmante del acuerdo multilateral de </w:t>
      </w:r>
      <w:proofErr w:type="spellStart"/>
      <w:r>
        <w:rPr>
          <w:rFonts w:ascii="Roboto" w:eastAsia="Roboto" w:hAnsi="Roboto" w:cs="Roboto"/>
          <w:sz w:val="22"/>
          <w:szCs w:val="22"/>
        </w:rPr>
        <w:t>European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Accreditation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sob</w:t>
      </w:r>
      <w:r>
        <w:rPr>
          <w:rFonts w:ascii="Roboto" w:eastAsia="Roboto" w:hAnsi="Roboto" w:cs="Roboto"/>
          <w:sz w:val="22"/>
          <w:szCs w:val="22"/>
        </w:rPr>
        <w:t xml:space="preserve">re productores de materiales de referencia, elemento fundamental para la reducción o eliminación de las barreras técnicas al comercio que facilita la consecución del objetivo final de la acreditación a nivel internacional: “acreditado una vez, aceptado en </w:t>
      </w:r>
      <w:r>
        <w:rPr>
          <w:rFonts w:ascii="Roboto" w:eastAsia="Roboto" w:hAnsi="Roboto" w:cs="Roboto"/>
          <w:sz w:val="22"/>
          <w:szCs w:val="22"/>
        </w:rPr>
        <w:t xml:space="preserve">cualquier parte”. </w:t>
      </w:r>
    </w:p>
    <w:p w14:paraId="0000001C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0000001D" w14:textId="77777777" w:rsidR="007F7A14" w:rsidRDefault="00E610E8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0000001E" w14:textId="088307C8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 w:rsidRPr="6AD0D62B"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nº765/2008 del Parlamento Europeo </w:t>
      </w:r>
      <w:r w:rsidRPr="6AD0D62B">
        <w:rPr>
          <w:rFonts w:ascii="Roboto" w:eastAsia="Roboto" w:hAnsi="Roboto" w:cs="Roboto"/>
          <w:sz w:val="22"/>
          <w:szCs w:val="22"/>
        </w:rPr>
        <w:t>que regula el funcionamiento de la acreditación en Europa.</w:t>
      </w:r>
    </w:p>
    <w:p w14:paraId="0000001F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00000020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</w:t>
      </w:r>
      <w:r>
        <w:rPr>
          <w:rFonts w:ascii="Roboto" w:eastAsia="Roboto" w:hAnsi="Roboto" w:cs="Roboto"/>
          <w:sz w:val="22"/>
          <w:szCs w:val="22"/>
        </w:rPr>
        <w:t>ibración, entidades de inspección, entidades de certificación y verificadores medioambientales que desarrollen su actividad en cualquier sector: industria,  energía, medio ambiente, sanidad, alimentación, investigación, desarrollo e innovación, transportes</w:t>
      </w:r>
      <w:r>
        <w:rPr>
          <w:rFonts w:ascii="Roboto" w:eastAsia="Roboto" w:hAnsi="Roboto" w:cs="Roboto"/>
          <w:sz w:val="22"/>
          <w:szCs w:val="22"/>
        </w:rPr>
        <w:t>, telecomunicaciones, turismo, servicios, construcción, etc. Contribuye, así, a la seguridad y el bienestar de las personas, la calidad de los productos y servicios, la protección del medioambiente y, con ello, al aumento de la competitividad de los produc</w:t>
      </w:r>
      <w:r>
        <w:rPr>
          <w:rFonts w:ascii="Roboto" w:eastAsia="Roboto" w:hAnsi="Roboto" w:cs="Roboto"/>
          <w:sz w:val="22"/>
          <w:szCs w:val="22"/>
        </w:rPr>
        <w:t>tos y servicios españoles y a una disminución de los costes para la sociedad debidos a estas actividades. </w:t>
      </w:r>
    </w:p>
    <w:p w14:paraId="00000021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00000022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</w:t>
      </w:r>
      <w:r>
        <w:rPr>
          <w:rFonts w:ascii="Roboto" w:eastAsia="Roboto" w:hAnsi="Roboto" w:cs="Roboto"/>
          <w:sz w:val="22"/>
          <w:szCs w:val="22"/>
        </w:rPr>
        <w:t>cnicamente competente para llevar a cabo la tarea que realiza, y lo es tanto en España como en los 100 países en los que la marca de ENAC es reconocida y aceptada gracias a los acuerdos de reconocimiento que ENAC ha suscrito con las entidades de acreditaci</w:t>
      </w:r>
      <w:r>
        <w:rPr>
          <w:rFonts w:ascii="Roboto" w:eastAsia="Roboto" w:hAnsi="Roboto" w:cs="Roboto"/>
          <w:sz w:val="22"/>
          <w:szCs w:val="22"/>
        </w:rPr>
        <w:t>ón de esos países.</w:t>
      </w:r>
    </w:p>
    <w:p w14:paraId="00000023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4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5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6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7" w14:textId="77777777" w:rsidR="007F7A14" w:rsidRDefault="007F7A1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8" w14:textId="77777777" w:rsidR="007F7A14" w:rsidRDefault="00E610E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1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29" w14:textId="77777777" w:rsidR="007F7A14" w:rsidRDefault="007F7A14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A" w14:textId="77777777" w:rsidR="007F7A14" w:rsidRDefault="00E610E8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06E63E68" wp14:editId="07777777">
            <wp:extent cx="304800" cy="304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E0A2F72" wp14:editId="07777777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B" w14:textId="77777777" w:rsidR="007F7A14" w:rsidRDefault="007F7A14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C" w14:textId="77777777" w:rsidR="007F7A14" w:rsidRDefault="007F7A14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D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000002E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0000002F" w14:textId="77777777" w:rsidR="007F7A14" w:rsidRDefault="00E610E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4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0000030" w14:textId="77777777" w:rsidR="007F7A14" w:rsidRDefault="007F7A14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00000031" w14:textId="77777777" w:rsidR="007F7A14" w:rsidRDefault="007F7A14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32" w14:textId="77777777" w:rsidR="007F7A14" w:rsidRDefault="007F7A1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33" w14:textId="77777777" w:rsidR="007F7A14" w:rsidRDefault="007F7A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7F7A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69D1" w14:textId="77777777" w:rsidR="00EB30BF" w:rsidRDefault="00EB30BF">
      <w:r>
        <w:separator/>
      </w:r>
    </w:p>
  </w:endnote>
  <w:endnote w:type="continuationSeparator" w:id="0">
    <w:p w14:paraId="61BBBE58" w14:textId="77777777" w:rsidR="00EB30BF" w:rsidRDefault="00EB30BF">
      <w:r>
        <w:continuationSeparator/>
      </w:r>
    </w:p>
  </w:endnote>
  <w:endnote w:type="continuationNotice" w:id="1">
    <w:p w14:paraId="6C689591" w14:textId="77777777" w:rsidR="00EB30BF" w:rsidRDefault="00EB3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7F7A14" w:rsidRDefault="007F7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380F7042" w:rsidR="007F7A14" w:rsidRDefault="00E610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Roboto" w:eastAsia="Roboto" w:hAnsi="Roboto" w:cs="Roboto"/>
        <w:color w:val="000000"/>
        <w:sz w:val="20"/>
        <w:szCs w:val="20"/>
      </w:rPr>
    </w:pPr>
    <w:r>
      <w:rPr>
        <w:rFonts w:ascii="Roboto" w:eastAsia="Roboto" w:hAnsi="Roboto" w:cs="Roboto"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color w:val="000000"/>
        <w:sz w:val="20"/>
        <w:szCs w:val="20"/>
      </w:rPr>
      <w:fldChar w:fldCharType="separate"/>
    </w:r>
    <w:r w:rsidR="002D12A7">
      <w:rPr>
        <w:rFonts w:ascii="Roboto" w:eastAsia="Roboto" w:hAnsi="Roboto" w:cs="Roboto"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color w:val="000000"/>
        <w:sz w:val="20"/>
        <w:szCs w:val="20"/>
      </w:rPr>
      <w:fldChar w:fldCharType="end"/>
    </w:r>
  </w:p>
  <w:p w14:paraId="0000003C" w14:textId="77777777" w:rsidR="007F7A14" w:rsidRDefault="007F7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F7A14" w:rsidRDefault="007F7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D8E9" w14:textId="77777777" w:rsidR="00EB30BF" w:rsidRDefault="00EB30BF">
      <w:r>
        <w:separator/>
      </w:r>
    </w:p>
  </w:footnote>
  <w:footnote w:type="continuationSeparator" w:id="0">
    <w:p w14:paraId="48199C6B" w14:textId="77777777" w:rsidR="00EB30BF" w:rsidRDefault="00EB30BF">
      <w:r>
        <w:continuationSeparator/>
      </w:r>
    </w:p>
  </w:footnote>
  <w:footnote w:type="continuationNotice" w:id="1">
    <w:p w14:paraId="26BBCAD1" w14:textId="77777777" w:rsidR="00EB30BF" w:rsidRDefault="00EB3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F7A14" w:rsidRDefault="007F7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7F7A14" w:rsidRDefault="00E610E8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C8FEDB" wp14:editId="07777777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5" w14:textId="77777777" w:rsidR="007F7A14" w:rsidRDefault="00E610E8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00000036" w14:textId="77777777" w:rsidR="007F7A14" w:rsidRDefault="007F7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7F7A14" w:rsidRDefault="007F7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M2ovuK9jE0vp" int2:id="HD74evg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1396"/>
    <w:multiLevelType w:val="multilevel"/>
    <w:tmpl w:val="87C61BE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636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295B70"/>
    <w:rsid w:val="002D12A7"/>
    <w:rsid w:val="002E1112"/>
    <w:rsid w:val="003A7DE0"/>
    <w:rsid w:val="00426CFC"/>
    <w:rsid w:val="00595E22"/>
    <w:rsid w:val="00680250"/>
    <w:rsid w:val="00766DC7"/>
    <w:rsid w:val="007808E6"/>
    <w:rsid w:val="007F7A14"/>
    <w:rsid w:val="00917D94"/>
    <w:rsid w:val="00C277B4"/>
    <w:rsid w:val="00E610E8"/>
    <w:rsid w:val="00EB30BF"/>
    <w:rsid w:val="0C5F4854"/>
    <w:rsid w:val="2A693C21"/>
    <w:rsid w:val="3D295B70"/>
    <w:rsid w:val="454BD9F9"/>
    <w:rsid w:val="57D0EC55"/>
    <w:rsid w:val="614A5644"/>
    <w:rsid w:val="6AD0D62B"/>
    <w:rsid w:val="7233D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EAD"/>
  <w15:docId w15:val="{3E229A49-0159-47EB-8715-99EEAF8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426C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6CFC"/>
  </w:style>
  <w:style w:type="paragraph" w:styleId="Piedepgina">
    <w:name w:val="footer"/>
    <w:basedOn w:val="Normal"/>
    <w:link w:val="PiedepginaCar"/>
    <w:uiPriority w:val="99"/>
    <w:semiHidden/>
    <w:unhideWhenUsed/>
    <w:rsid w:val="00426C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6CFC"/>
  </w:style>
  <w:style w:type="paragraph" w:styleId="Revisin">
    <w:name w:val="Revision"/>
    <w:hidden/>
    <w:uiPriority w:val="99"/>
    <w:semiHidden/>
    <w:rsid w:val="0076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hyperlink" Target="https://www.enac.es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B2C1EFC2-A252-43C2-9D9E-D88495B42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D54F-455D-4D2C-B7E6-D710C851D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2DC45-670D-4508-888E-3BC394DEFA69}">
  <ds:schemaRefs>
    <ds:schemaRef ds:uri="909e21e3-a2e2-47ca-be0e-9c3a9bef9292"/>
    <ds:schemaRef ds:uri="http://schemas.openxmlformats.org/package/2006/metadata/core-properties"/>
    <ds:schemaRef ds:uri="http://purl.org/dc/terms/"/>
    <ds:schemaRef ds:uri="6e290ce1-b2e7-4ccb-948d-a290ef611fa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Diaz Pozo</dc:creator>
  <cp:lastModifiedBy>Denise Diaz Pozo</cp:lastModifiedBy>
  <cp:revision>2</cp:revision>
  <dcterms:created xsi:type="dcterms:W3CDTF">2022-09-08T06:33:00Z</dcterms:created>
  <dcterms:modified xsi:type="dcterms:W3CDTF">2022-09-08T06:33:00Z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