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4" w:rsidRDefault="00331024" w:rsidP="00331024">
      <w:pPr>
        <w:ind w:left="708" w:hanging="708"/>
        <w:jc w:val="both"/>
        <w:rPr>
          <w:rFonts w:asciiTheme="minorHAnsi" w:hAnsiTheme="minorHAnsi" w:cstheme="minorHAnsi"/>
          <w:b/>
          <w:bCs/>
          <w:sz w:val="28"/>
          <w:szCs w:val="28"/>
        </w:rPr>
      </w:pPr>
    </w:p>
    <w:p w:rsidR="006737A6" w:rsidRDefault="006737A6" w:rsidP="00331024">
      <w:pPr>
        <w:ind w:left="708" w:hanging="708"/>
        <w:jc w:val="both"/>
        <w:rPr>
          <w:rFonts w:asciiTheme="minorHAnsi" w:hAnsiTheme="minorHAnsi" w:cstheme="minorHAnsi"/>
          <w:b/>
          <w:bCs/>
          <w:sz w:val="28"/>
          <w:szCs w:val="28"/>
        </w:rPr>
      </w:pPr>
    </w:p>
    <w:p w:rsidR="006737A6" w:rsidRPr="006737A6" w:rsidRDefault="006737A6" w:rsidP="006737A6">
      <w:pPr>
        <w:pStyle w:val="Prrafodelista"/>
        <w:shd w:val="clear" w:color="auto" w:fill="FFFFFF"/>
        <w:jc w:val="center"/>
        <w:rPr>
          <w:rFonts w:ascii="Calibri" w:hAnsi="Calibri"/>
          <w:color w:val="222222"/>
        </w:rPr>
      </w:pPr>
      <w:r>
        <w:rPr>
          <w:rFonts w:ascii="Calibri" w:hAnsi="Calibri"/>
          <w:b/>
          <w:bCs/>
          <w:color w:val="222222"/>
          <w:sz w:val="40"/>
          <w:szCs w:val="40"/>
        </w:rPr>
        <w:t>España ocupa la vicepresidencia de la organización europea de acreditadores</w:t>
      </w:r>
    </w:p>
    <w:p w:rsidR="006737A6" w:rsidRPr="006737A6" w:rsidRDefault="006737A6" w:rsidP="006737A6">
      <w:pPr>
        <w:pStyle w:val="Prrafodelista"/>
        <w:shd w:val="clear" w:color="auto" w:fill="FFFFFF"/>
        <w:jc w:val="both"/>
        <w:rPr>
          <w:rFonts w:ascii="Calibri" w:hAnsi="Calibri"/>
          <w:color w:val="222222"/>
        </w:rPr>
      </w:pPr>
    </w:p>
    <w:p w:rsidR="006737A6" w:rsidRPr="006737A6" w:rsidRDefault="006737A6" w:rsidP="006737A6">
      <w:pPr>
        <w:pStyle w:val="Prrafodelista"/>
        <w:numPr>
          <w:ilvl w:val="0"/>
          <w:numId w:val="18"/>
        </w:numPr>
        <w:shd w:val="clear" w:color="auto" w:fill="FFFFFF"/>
        <w:jc w:val="both"/>
        <w:rPr>
          <w:color w:val="222222"/>
        </w:rPr>
      </w:pPr>
      <w:r w:rsidRPr="006737A6">
        <w:rPr>
          <w:rFonts w:ascii="Calibri" w:hAnsi="Calibri"/>
          <w:b/>
          <w:bCs/>
          <w:color w:val="222222"/>
        </w:rPr>
        <w:t>Ignacio Pina, Director Técnico de la Entidad Nacional de Acreditación (ENAC), elegido por unanimidad nuevo vicepresidente de European Accreditation (EA)</w:t>
      </w:r>
    </w:p>
    <w:p w:rsidR="006737A6" w:rsidRPr="006737A6" w:rsidRDefault="006737A6" w:rsidP="006737A6">
      <w:pPr>
        <w:shd w:val="clear" w:color="auto" w:fill="FFFFFF"/>
        <w:rPr>
          <w:color w:val="222222"/>
        </w:rPr>
      </w:pPr>
      <w:r w:rsidRPr="006737A6">
        <w:rPr>
          <w:rFonts w:ascii="Calibri" w:hAnsi="Calibri"/>
          <w:color w:val="1F497D"/>
          <w:sz w:val="22"/>
          <w:szCs w:val="22"/>
        </w:rPr>
        <w:t> </w:t>
      </w:r>
    </w:p>
    <w:p w:rsidR="00C826D8" w:rsidRPr="00F727AC" w:rsidRDefault="00C826D8" w:rsidP="004C787F">
      <w:pPr>
        <w:spacing w:before="360" w:after="240"/>
        <w:jc w:val="both"/>
        <w:rPr>
          <w:rFonts w:ascii="Calibri" w:hAnsi="Calibri" w:cstheme="minorHAnsi"/>
          <w:bCs/>
          <w:sz w:val="22"/>
          <w:szCs w:val="22"/>
        </w:rPr>
      </w:pPr>
      <w:r w:rsidRPr="00F727AC">
        <w:rPr>
          <w:rFonts w:ascii="Calibri" w:hAnsi="Calibri" w:cstheme="minorHAnsi"/>
          <w:bCs/>
          <w:sz w:val="22"/>
          <w:szCs w:val="22"/>
        </w:rPr>
        <w:t xml:space="preserve">Madrid.- </w:t>
      </w:r>
      <w:r w:rsidR="00B8040D" w:rsidRPr="00F727AC">
        <w:rPr>
          <w:rFonts w:ascii="Calibri" w:hAnsi="Calibri" w:cstheme="minorHAnsi"/>
          <w:bCs/>
          <w:sz w:val="22"/>
          <w:szCs w:val="22"/>
        </w:rPr>
        <w:t>29</w:t>
      </w:r>
      <w:r w:rsidRPr="00F727AC">
        <w:rPr>
          <w:rFonts w:ascii="Calibri" w:hAnsi="Calibri" w:cstheme="minorHAnsi"/>
          <w:bCs/>
          <w:sz w:val="22"/>
          <w:szCs w:val="22"/>
        </w:rPr>
        <w:t xml:space="preserve"> de mayo de 2017</w:t>
      </w:r>
    </w:p>
    <w:p w:rsidR="00F727AC" w:rsidRPr="00F727AC" w:rsidRDefault="00B44571" w:rsidP="00B44571">
      <w:pPr>
        <w:shd w:val="clear" w:color="auto" w:fill="FFFFFF"/>
        <w:jc w:val="both"/>
        <w:rPr>
          <w:rFonts w:ascii="Calibri" w:hAnsi="Calibri"/>
          <w:color w:val="222222"/>
          <w:sz w:val="22"/>
          <w:szCs w:val="22"/>
        </w:rPr>
      </w:pPr>
      <w:r w:rsidRPr="00F727AC">
        <w:rPr>
          <w:rFonts w:ascii="Calibri" w:hAnsi="Calibri"/>
          <w:color w:val="222222"/>
          <w:sz w:val="22"/>
          <w:szCs w:val="22"/>
        </w:rPr>
        <w:t xml:space="preserve">En el marco de la Asamblea General de European Accreditation  (EA) celebrada en Bled (Eslovenia) los días 23 y 24 de mayo, Ignacio Pina, Director Técnico de la </w:t>
      </w:r>
      <w:hyperlink r:id="rId9" w:history="1">
        <w:r w:rsidRPr="005B3472">
          <w:rPr>
            <w:rStyle w:val="Hipervnculo"/>
            <w:rFonts w:ascii="Calibri" w:hAnsi="Calibri"/>
            <w:sz w:val="22"/>
            <w:szCs w:val="22"/>
          </w:rPr>
          <w:t>Entidad Nacional de Acreditación</w:t>
        </w:r>
      </w:hyperlink>
      <w:r w:rsidRPr="00F727AC">
        <w:rPr>
          <w:rFonts w:ascii="Calibri" w:hAnsi="Calibri"/>
          <w:color w:val="222222"/>
          <w:sz w:val="22"/>
          <w:szCs w:val="22"/>
        </w:rPr>
        <w:t xml:space="preserve"> (ENAC), ha sido elegido Vicepresidente de la organización europea de acreditadores.</w:t>
      </w:r>
      <w:r w:rsidR="00F727AC" w:rsidRPr="00F727AC">
        <w:rPr>
          <w:rFonts w:ascii="Calibri" w:hAnsi="Calibri"/>
          <w:color w:val="222222"/>
          <w:sz w:val="22"/>
          <w:szCs w:val="22"/>
        </w:rPr>
        <w:t xml:space="preserve"> </w:t>
      </w:r>
    </w:p>
    <w:p w:rsidR="00F727AC" w:rsidRPr="00F727AC" w:rsidRDefault="00F727AC" w:rsidP="00B44571">
      <w:pPr>
        <w:shd w:val="clear" w:color="auto" w:fill="FFFFFF"/>
        <w:jc w:val="both"/>
        <w:rPr>
          <w:rFonts w:ascii="Calibri" w:hAnsi="Calibri"/>
          <w:color w:val="222222"/>
          <w:sz w:val="22"/>
          <w:szCs w:val="22"/>
        </w:rPr>
      </w:pPr>
    </w:p>
    <w:p w:rsidR="00B44571" w:rsidRPr="00F727AC" w:rsidRDefault="00B44571" w:rsidP="00B44571">
      <w:pPr>
        <w:shd w:val="clear" w:color="auto" w:fill="FFFFFF"/>
        <w:jc w:val="both"/>
        <w:rPr>
          <w:rFonts w:ascii="Calibri" w:hAnsi="Calibri"/>
          <w:color w:val="222222"/>
          <w:sz w:val="22"/>
          <w:szCs w:val="22"/>
        </w:rPr>
      </w:pPr>
      <w:r w:rsidRPr="00F727AC">
        <w:rPr>
          <w:rFonts w:ascii="Calibri" w:hAnsi="Calibri"/>
          <w:b/>
          <w:bCs/>
          <w:color w:val="222222"/>
          <w:sz w:val="22"/>
          <w:szCs w:val="22"/>
        </w:rPr>
        <w:t>Sobre la infraestructura europea de acreditación</w:t>
      </w:r>
    </w:p>
    <w:p w:rsidR="00B44571" w:rsidRPr="00F727AC" w:rsidRDefault="00B44571" w:rsidP="00B44571">
      <w:pPr>
        <w:shd w:val="clear" w:color="auto" w:fill="FFFFFF"/>
        <w:jc w:val="both"/>
        <w:rPr>
          <w:rFonts w:ascii="Calibri" w:hAnsi="Calibri"/>
          <w:color w:val="222222"/>
          <w:sz w:val="22"/>
          <w:szCs w:val="22"/>
        </w:rPr>
      </w:pPr>
      <w:r w:rsidRPr="00F727AC">
        <w:rPr>
          <w:rFonts w:ascii="Calibri" w:hAnsi="Calibri"/>
          <w:color w:val="000000"/>
          <w:sz w:val="22"/>
          <w:szCs w:val="22"/>
        </w:rPr>
        <w:t> </w:t>
      </w:r>
    </w:p>
    <w:p w:rsidR="00B44571" w:rsidRPr="00721D30" w:rsidRDefault="00B44571" w:rsidP="00B44571">
      <w:pPr>
        <w:shd w:val="clear" w:color="auto" w:fill="FFFFFF"/>
        <w:jc w:val="both"/>
        <w:rPr>
          <w:rFonts w:ascii="Calibri" w:hAnsi="Calibri"/>
          <w:color w:val="222222"/>
          <w:sz w:val="22"/>
          <w:szCs w:val="22"/>
        </w:rPr>
      </w:pPr>
      <w:r w:rsidRPr="00721D30">
        <w:rPr>
          <w:rFonts w:ascii="Calibri" w:hAnsi="Calibri"/>
          <w:color w:val="000000"/>
          <w:sz w:val="22"/>
          <w:szCs w:val="22"/>
        </w:rPr>
        <w:t>El Reglamento (CE) n.º765/2008 del Parlamento Europeo y el Consejo establece el</w:t>
      </w:r>
      <w:r w:rsidRPr="00721D30">
        <w:rPr>
          <w:rFonts w:ascii="Calibri" w:hAnsi="Calibri"/>
          <w:color w:val="222222"/>
          <w:sz w:val="22"/>
          <w:szCs w:val="22"/>
        </w:rPr>
        <w:t> modelo de acreditación en Europa designando a </w:t>
      </w:r>
      <w:r w:rsidRPr="00721D30">
        <w:rPr>
          <w:rFonts w:ascii="Calibri" w:hAnsi="Calibri"/>
          <w:b/>
          <w:bCs/>
          <w:color w:val="222222"/>
          <w:sz w:val="22"/>
          <w:szCs w:val="22"/>
        </w:rPr>
        <w:t>European Accreditation (EA) </w:t>
      </w:r>
      <w:r w:rsidRPr="00721D30">
        <w:rPr>
          <w:rFonts w:ascii="Calibri" w:hAnsi="Calibri"/>
          <w:color w:val="222222"/>
          <w:sz w:val="22"/>
          <w:szCs w:val="22"/>
        </w:rPr>
        <w:t>como el organismo responsable de su funcionamiento, a la vez que establece las funciones y responsabilidades de los organismos nacionales de acreditación y las autoridades nacionales.</w:t>
      </w:r>
    </w:p>
    <w:p w:rsidR="00B44571" w:rsidRPr="00721D30" w:rsidRDefault="00B44571" w:rsidP="00B44571">
      <w:pPr>
        <w:shd w:val="clear" w:color="auto" w:fill="FFFFFF"/>
        <w:jc w:val="both"/>
        <w:rPr>
          <w:rFonts w:ascii="Calibri" w:hAnsi="Calibri"/>
          <w:color w:val="222222"/>
          <w:sz w:val="22"/>
          <w:szCs w:val="22"/>
        </w:rPr>
      </w:pPr>
      <w:r w:rsidRPr="00721D30">
        <w:rPr>
          <w:rFonts w:ascii="Calibri" w:hAnsi="Calibri"/>
          <w:color w:val="222222"/>
          <w:sz w:val="22"/>
          <w:szCs w:val="22"/>
        </w:rPr>
        <w:t> </w:t>
      </w:r>
    </w:p>
    <w:p w:rsidR="00B44571" w:rsidRPr="00721D30" w:rsidRDefault="00B44571" w:rsidP="00B44571">
      <w:pPr>
        <w:shd w:val="clear" w:color="auto" w:fill="FFFFFF"/>
        <w:jc w:val="both"/>
        <w:rPr>
          <w:rFonts w:ascii="Calibri" w:hAnsi="Calibri"/>
          <w:color w:val="222222"/>
          <w:sz w:val="22"/>
          <w:szCs w:val="22"/>
        </w:rPr>
      </w:pPr>
      <w:r w:rsidRPr="00721D30">
        <w:rPr>
          <w:rFonts w:ascii="Calibri" w:hAnsi="Calibri"/>
          <w:color w:val="222222"/>
          <w:sz w:val="22"/>
          <w:szCs w:val="22"/>
        </w:rPr>
        <w:t>El objetivo del Reglamento es garantizar que el servicio de acreditación se preste en todos los Estados Miembros de acuerdo a los mismos requisitos y conforme a unos principios de funcionamiento y organización comunes de forma que se asegure el máximo nivel de protección del interés público en ámbitos como la salud y seguridad en general, la protección de los consumidores y la protección del medio ambiente y se garantice que todos los Estados Miembros confíen en los certificados emitidos por los organismos acreditados reduciéndose así costes y obstáculos a la circulación de productos y servicios en Europa.</w:t>
      </w:r>
    </w:p>
    <w:p w:rsidR="00B44571" w:rsidRPr="00721D30" w:rsidRDefault="00B44571" w:rsidP="00B44571">
      <w:pPr>
        <w:shd w:val="clear" w:color="auto" w:fill="FFFFFF"/>
        <w:jc w:val="both"/>
        <w:rPr>
          <w:rFonts w:ascii="Calibri" w:hAnsi="Calibri"/>
          <w:color w:val="222222"/>
          <w:sz w:val="22"/>
          <w:szCs w:val="22"/>
        </w:rPr>
      </w:pPr>
      <w:r w:rsidRPr="00721D30">
        <w:rPr>
          <w:rFonts w:ascii="Calibri" w:hAnsi="Calibri"/>
          <w:color w:val="222222"/>
          <w:sz w:val="22"/>
          <w:szCs w:val="22"/>
        </w:rPr>
        <w:t> </w:t>
      </w:r>
    </w:p>
    <w:p w:rsidR="00B44571" w:rsidRDefault="00B44571" w:rsidP="00B44571">
      <w:pPr>
        <w:shd w:val="clear" w:color="auto" w:fill="FFFFFF"/>
        <w:jc w:val="both"/>
        <w:rPr>
          <w:rFonts w:ascii="Calibri" w:hAnsi="Calibri"/>
          <w:color w:val="222222"/>
          <w:sz w:val="22"/>
          <w:szCs w:val="22"/>
        </w:rPr>
      </w:pPr>
      <w:r w:rsidRPr="00721D30">
        <w:rPr>
          <w:rFonts w:ascii="Calibri" w:hAnsi="Calibri"/>
          <w:color w:val="222222"/>
          <w:sz w:val="22"/>
          <w:szCs w:val="22"/>
        </w:rPr>
        <w:t>Una de las principales funciones que le otorga el Reglamento a EA es la de gestionar el sistema de evaluación por pares al que deben someterse todos los Organismos Nacionales de Acreditación. Por otra parte se declara a EA como un organismo que persigue un objetivo de interés general y se establecen las líneas de cooperación entre EA y la Comisión Europea.</w:t>
      </w:r>
    </w:p>
    <w:p w:rsidR="00721D30" w:rsidRDefault="00721D30" w:rsidP="00B44571">
      <w:pPr>
        <w:shd w:val="clear" w:color="auto" w:fill="FFFFFF"/>
        <w:jc w:val="both"/>
        <w:rPr>
          <w:rFonts w:ascii="Calibri" w:hAnsi="Calibri"/>
          <w:color w:val="222222"/>
          <w:sz w:val="22"/>
          <w:szCs w:val="22"/>
        </w:rPr>
      </w:pPr>
    </w:p>
    <w:p w:rsidR="00721D30" w:rsidRDefault="00721D30" w:rsidP="00B44571">
      <w:pPr>
        <w:shd w:val="clear" w:color="auto" w:fill="FFFFFF"/>
        <w:jc w:val="both"/>
        <w:rPr>
          <w:rFonts w:ascii="Calibri" w:hAnsi="Calibri"/>
          <w:b/>
          <w:color w:val="222222"/>
          <w:sz w:val="22"/>
          <w:szCs w:val="22"/>
        </w:rPr>
      </w:pPr>
      <w:r w:rsidRPr="00721D30">
        <w:rPr>
          <w:rFonts w:ascii="Calibri" w:hAnsi="Calibri"/>
          <w:b/>
          <w:color w:val="222222"/>
          <w:sz w:val="22"/>
          <w:szCs w:val="22"/>
        </w:rPr>
        <w:t xml:space="preserve">La acreditación de ENAC como apoyo a la exportación </w:t>
      </w:r>
    </w:p>
    <w:p w:rsidR="00721D30" w:rsidRPr="00721D30" w:rsidRDefault="00721D30" w:rsidP="00B44571">
      <w:pPr>
        <w:shd w:val="clear" w:color="auto" w:fill="FFFFFF"/>
        <w:jc w:val="both"/>
        <w:rPr>
          <w:rFonts w:ascii="Calibri" w:hAnsi="Calibri"/>
          <w:b/>
          <w:color w:val="222222"/>
          <w:sz w:val="22"/>
          <w:szCs w:val="22"/>
        </w:rPr>
      </w:pPr>
    </w:p>
    <w:p w:rsidR="00721D30" w:rsidRDefault="00721D30" w:rsidP="00721D30">
      <w:pPr>
        <w:shd w:val="clear" w:color="auto" w:fill="FFFFFF"/>
        <w:jc w:val="both"/>
        <w:rPr>
          <w:rFonts w:ascii="Calibri" w:hAnsi="Calibri"/>
          <w:color w:val="222222"/>
          <w:sz w:val="22"/>
          <w:szCs w:val="22"/>
        </w:rPr>
      </w:pPr>
      <w:r>
        <w:rPr>
          <w:rFonts w:ascii="Calibri" w:hAnsi="Calibri"/>
          <w:color w:val="222222"/>
          <w:sz w:val="22"/>
          <w:szCs w:val="22"/>
        </w:rPr>
        <w:t xml:space="preserve">Un organismo de acreditación, para ser totalmente efectivo, debe de estar integrado en la infraestructura global de la acreditación. </w:t>
      </w:r>
      <w:r w:rsidRPr="00721D30">
        <w:rPr>
          <w:rFonts w:ascii="Calibri" w:hAnsi="Calibri"/>
          <w:color w:val="222222"/>
          <w:sz w:val="22"/>
          <w:szCs w:val="22"/>
        </w:rPr>
        <w:t>D</w:t>
      </w:r>
      <w:r>
        <w:rPr>
          <w:rFonts w:ascii="Calibri" w:hAnsi="Calibri"/>
          <w:color w:val="222222"/>
          <w:sz w:val="22"/>
          <w:szCs w:val="22"/>
        </w:rPr>
        <w:t xml:space="preserve">icha infraestructura mundial opera a través de dos organizaciones internacionales que se apoyan a su vez en organizaciones regionales. En Europa, la organización regional es European Accreditation (EA) a la que ENAC pertenece desde su fundación. </w:t>
      </w:r>
    </w:p>
    <w:p w:rsidR="00721D30" w:rsidRDefault="00721D30" w:rsidP="00721D30">
      <w:pPr>
        <w:shd w:val="clear" w:color="auto" w:fill="FFFFFF"/>
        <w:jc w:val="both"/>
        <w:rPr>
          <w:rFonts w:ascii="Calibri" w:hAnsi="Calibri"/>
          <w:color w:val="222222"/>
          <w:sz w:val="22"/>
          <w:szCs w:val="22"/>
        </w:rPr>
      </w:pPr>
    </w:p>
    <w:p w:rsidR="00721D30" w:rsidRDefault="00721D30" w:rsidP="00721D30">
      <w:pPr>
        <w:shd w:val="clear" w:color="auto" w:fill="FFFFFF"/>
        <w:jc w:val="both"/>
        <w:rPr>
          <w:rFonts w:ascii="Calibri" w:hAnsi="Calibri"/>
          <w:color w:val="222222"/>
          <w:sz w:val="22"/>
          <w:szCs w:val="22"/>
        </w:rPr>
      </w:pPr>
    </w:p>
    <w:p w:rsidR="00721D30" w:rsidRDefault="00721D30" w:rsidP="00721D30">
      <w:pPr>
        <w:shd w:val="clear" w:color="auto" w:fill="FFFFFF"/>
        <w:jc w:val="both"/>
        <w:rPr>
          <w:rFonts w:ascii="Calibri" w:hAnsi="Calibri"/>
          <w:color w:val="222222"/>
          <w:sz w:val="22"/>
          <w:szCs w:val="22"/>
        </w:rPr>
      </w:pPr>
    </w:p>
    <w:p w:rsidR="00721D30" w:rsidRDefault="00721D30" w:rsidP="00721D30">
      <w:pPr>
        <w:shd w:val="clear" w:color="auto" w:fill="FFFFFF"/>
        <w:jc w:val="both"/>
        <w:rPr>
          <w:rFonts w:ascii="Calibri" w:hAnsi="Calibri"/>
          <w:color w:val="222222"/>
          <w:sz w:val="22"/>
          <w:szCs w:val="22"/>
        </w:rPr>
      </w:pPr>
    </w:p>
    <w:p w:rsidR="00721D30" w:rsidRDefault="00721D30" w:rsidP="00721D30">
      <w:pPr>
        <w:shd w:val="clear" w:color="auto" w:fill="FFFFFF"/>
        <w:jc w:val="both"/>
        <w:rPr>
          <w:rFonts w:ascii="Calibri" w:hAnsi="Calibri"/>
          <w:color w:val="222222"/>
          <w:sz w:val="22"/>
          <w:szCs w:val="22"/>
        </w:rPr>
      </w:pPr>
    </w:p>
    <w:p w:rsidR="00721D30" w:rsidRDefault="00721D30" w:rsidP="00721D30">
      <w:pPr>
        <w:shd w:val="clear" w:color="auto" w:fill="FFFFFF"/>
        <w:jc w:val="both"/>
        <w:rPr>
          <w:rFonts w:ascii="Calibri" w:hAnsi="Calibri"/>
          <w:color w:val="222222"/>
          <w:sz w:val="22"/>
          <w:szCs w:val="22"/>
        </w:rPr>
      </w:pPr>
    </w:p>
    <w:p w:rsidR="00721D30" w:rsidRDefault="00721D30" w:rsidP="00721D30">
      <w:pPr>
        <w:shd w:val="clear" w:color="auto" w:fill="FFFFFF"/>
        <w:jc w:val="both"/>
        <w:rPr>
          <w:rFonts w:ascii="Calibri" w:hAnsi="Calibri"/>
          <w:color w:val="222222"/>
          <w:sz w:val="22"/>
          <w:szCs w:val="22"/>
        </w:rPr>
      </w:pPr>
    </w:p>
    <w:p w:rsidR="00F727AC" w:rsidRDefault="00721D30" w:rsidP="00721D30">
      <w:pPr>
        <w:shd w:val="clear" w:color="auto" w:fill="FFFFFF"/>
        <w:jc w:val="both"/>
        <w:rPr>
          <w:rFonts w:ascii="Calibri" w:hAnsi="Calibri"/>
          <w:color w:val="222222"/>
          <w:sz w:val="22"/>
          <w:szCs w:val="22"/>
        </w:rPr>
      </w:pPr>
      <w:r>
        <w:rPr>
          <w:rFonts w:ascii="Calibri" w:hAnsi="Calibri"/>
          <w:color w:val="222222"/>
          <w:sz w:val="22"/>
          <w:szCs w:val="22"/>
        </w:rPr>
        <w:t xml:space="preserve">Dentro de estas organizaciones se han establecido acuerdos internacionales basados en el reconocimiento mutuo de certificados e informes emitidos por las entidades acreditadas que facilitan el comercio y crean un entorno que facilita la consecución del objetivo final: </w:t>
      </w:r>
      <w:r w:rsidRPr="00721D30">
        <w:rPr>
          <w:rFonts w:ascii="Calibri" w:hAnsi="Calibri"/>
          <w:b/>
          <w:color w:val="222222"/>
          <w:sz w:val="22"/>
          <w:szCs w:val="22"/>
        </w:rPr>
        <w:t>“acreditado una vez, aceptado en todas partes”</w:t>
      </w:r>
      <w:r w:rsidRPr="00721D30">
        <w:rPr>
          <w:rFonts w:ascii="Calibri" w:hAnsi="Calibri"/>
          <w:color w:val="222222"/>
          <w:sz w:val="22"/>
          <w:szCs w:val="22"/>
        </w:rPr>
        <w:t xml:space="preserve">. </w:t>
      </w:r>
    </w:p>
    <w:p w:rsidR="00721D30" w:rsidRDefault="00721D30" w:rsidP="00721D30">
      <w:pPr>
        <w:shd w:val="clear" w:color="auto" w:fill="FFFFFF"/>
        <w:jc w:val="both"/>
        <w:rPr>
          <w:rFonts w:ascii="Calibri" w:hAnsi="Calibri"/>
          <w:color w:val="222222"/>
          <w:sz w:val="22"/>
          <w:szCs w:val="22"/>
        </w:rPr>
      </w:pPr>
    </w:p>
    <w:p w:rsidR="00721D30" w:rsidRPr="00721D30" w:rsidRDefault="00721D30" w:rsidP="00721D30">
      <w:pPr>
        <w:shd w:val="clear" w:color="auto" w:fill="FFFFFF"/>
        <w:jc w:val="both"/>
        <w:rPr>
          <w:rFonts w:ascii="Calibri" w:hAnsi="Calibri"/>
          <w:b/>
          <w:color w:val="222222"/>
          <w:sz w:val="22"/>
          <w:szCs w:val="22"/>
        </w:rPr>
      </w:pPr>
      <w:r>
        <w:rPr>
          <w:rFonts w:ascii="Calibri" w:hAnsi="Calibri"/>
          <w:color w:val="222222"/>
          <w:sz w:val="22"/>
          <w:szCs w:val="22"/>
        </w:rPr>
        <w:t xml:space="preserve">ENAC es firmante de todos los acuerdos internacionales, lo que significa que </w:t>
      </w:r>
      <w:r w:rsidRPr="00721D30">
        <w:rPr>
          <w:rFonts w:ascii="Calibri" w:hAnsi="Calibri"/>
          <w:b/>
          <w:color w:val="222222"/>
          <w:sz w:val="22"/>
          <w:szCs w:val="22"/>
        </w:rPr>
        <w:t>un informe o certificado emitido bajo acreditación de ENAC será reconocido por el resto de firmantes de todo el mundo</w:t>
      </w:r>
      <w:r>
        <w:rPr>
          <w:rFonts w:ascii="Calibri" w:hAnsi="Calibri"/>
          <w:color w:val="222222"/>
          <w:sz w:val="22"/>
          <w:szCs w:val="22"/>
        </w:rPr>
        <w:t xml:space="preserve">. De esta manera, estos acuerdos actúan como un pasaporte internacional para el comercio. </w:t>
      </w:r>
    </w:p>
    <w:p w:rsidR="00721D30" w:rsidRDefault="00721D30" w:rsidP="00C826D8">
      <w:pPr>
        <w:pStyle w:val="Sinespaciado"/>
        <w:jc w:val="both"/>
        <w:rPr>
          <w:rFonts w:ascii="Calibri" w:hAnsi="Calibri" w:cs="Tahoma"/>
          <w:b/>
          <w:noProof/>
          <w:sz w:val="22"/>
          <w:szCs w:val="22"/>
          <w:u w:val="single"/>
        </w:rPr>
      </w:pPr>
    </w:p>
    <w:p w:rsidR="006737A6" w:rsidRPr="00721D30" w:rsidRDefault="006737A6" w:rsidP="00C826D8">
      <w:pPr>
        <w:pStyle w:val="Sinespaciado"/>
        <w:jc w:val="both"/>
        <w:rPr>
          <w:rFonts w:ascii="Calibri" w:hAnsi="Calibri" w:cs="Tahoma"/>
          <w:b/>
          <w:noProof/>
          <w:sz w:val="22"/>
          <w:szCs w:val="22"/>
          <w:u w:val="single"/>
        </w:rPr>
      </w:pPr>
      <w:r w:rsidRPr="00721D30">
        <w:rPr>
          <w:rFonts w:ascii="Calibri" w:hAnsi="Calibri" w:cs="Tahoma"/>
          <w:b/>
          <w:noProof/>
          <w:sz w:val="22"/>
          <w:szCs w:val="22"/>
          <w:u w:val="single"/>
        </w:rPr>
        <w:t xml:space="preserve">Trayectoria </w:t>
      </w:r>
      <w:r w:rsidR="009D3BA7" w:rsidRPr="00721D30">
        <w:rPr>
          <w:rFonts w:ascii="Calibri" w:hAnsi="Calibri" w:cs="Tahoma"/>
          <w:b/>
          <w:noProof/>
          <w:sz w:val="22"/>
          <w:szCs w:val="22"/>
          <w:u w:val="single"/>
        </w:rPr>
        <w:t xml:space="preserve">profesional </w:t>
      </w:r>
      <w:r w:rsidRPr="00721D30">
        <w:rPr>
          <w:rFonts w:ascii="Calibri" w:hAnsi="Calibri" w:cs="Tahoma"/>
          <w:b/>
          <w:noProof/>
          <w:sz w:val="22"/>
          <w:szCs w:val="22"/>
          <w:u w:val="single"/>
        </w:rPr>
        <w:t xml:space="preserve">internacional </w:t>
      </w:r>
    </w:p>
    <w:p w:rsidR="006737A6" w:rsidRPr="00721D30" w:rsidRDefault="006737A6" w:rsidP="00C826D8">
      <w:pPr>
        <w:pStyle w:val="Sinespaciado"/>
        <w:jc w:val="both"/>
        <w:rPr>
          <w:rFonts w:ascii="Calibri" w:hAnsi="Calibri" w:cs="Tahoma"/>
          <w:b/>
          <w:noProof/>
          <w:sz w:val="22"/>
          <w:szCs w:val="22"/>
          <w:u w:val="single"/>
        </w:rPr>
      </w:pPr>
    </w:p>
    <w:p w:rsidR="006737A6" w:rsidRPr="00721D30" w:rsidRDefault="006737A6" w:rsidP="006737A6">
      <w:pPr>
        <w:shd w:val="clear" w:color="auto" w:fill="FFFFFF"/>
        <w:jc w:val="both"/>
        <w:rPr>
          <w:rFonts w:ascii="Calibri" w:hAnsi="Calibri"/>
          <w:color w:val="222222"/>
          <w:sz w:val="22"/>
          <w:szCs w:val="22"/>
        </w:rPr>
      </w:pPr>
      <w:r w:rsidRPr="00721D30">
        <w:rPr>
          <w:rFonts w:ascii="Calibri" w:hAnsi="Calibri"/>
          <w:color w:val="222222"/>
          <w:sz w:val="22"/>
          <w:szCs w:val="22"/>
        </w:rPr>
        <w:t>Ignacio Pina ocupa, desde 2</w:t>
      </w:r>
      <w:r w:rsidR="00ED31CA">
        <w:rPr>
          <w:rFonts w:ascii="Calibri" w:hAnsi="Calibri"/>
          <w:color w:val="222222"/>
          <w:sz w:val="22"/>
          <w:szCs w:val="22"/>
        </w:rPr>
        <w:t>00</w:t>
      </w:r>
      <w:bookmarkStart w:id="0" w:name="_GoBack"/>
      <w:bookmarkEnd w:id="0"/>
      <w:r w:rsidRPr="00721D30">
        <w:rPr>
          <w:rFonts w:ascii="Calibri" w:hAnsi="Calibri"/>
          <w:color w:val="222222"/>
          <w:sz w:val="22"/>
          <w:szCs w:val="22"/>
        </w:rPr>
        <w:t>0, el puesto de </w:t>
      </w:r>
      <w:r w:rsidRPr="00721D30">
        <w:rPr>
          <w:rFonts w:ascii="Calibri" w:hAnsi="Calibri"/>
          <w:color w:val="222222"/>
          <w:spacing w:val="-3"/>
          <w:sz w:val="22"/>
          <w:szCs w:val="22"/>
        </w:rPr>
        <w:t>Director Técnico de ENAC con responsabilidad en todas las áreas de actividad: laboratorios, certificación, inspección, verificación, etc.</w:t>
      </w:r>
    </w:p>
    <w:p w:rsidR="006737A6" w:rsidRPr="00721D30" w:rsidRDefault="006737A6" w:rsidP="006737A6">
      <w:pPr>
        <w:shd w:val="clear" w:color="auto" w:fill="FFFFFF"/>
        <w:jc w:val="both"/>
        <w:rPr>
          <w:rFonts w:ascii="Calibri" w:hAnsi="Calibri"/>
          <w:color w:val="222222"/>
          <w:sz w:val="22"/>
          <w:szCs w:val="22"/>
        </w:rPr>
      </w:pPr>
    </w:p>
    <w:p w:rsidR="006737A6" w:rsidRPr="00F727AC" w:rsidRDefault="006737A6" w:rsidP="006737A6">
      <w:pPr>
        <w:shd w:val="clear" w:color="auto" w:fill="FFFFFF"/>
        <w:jc w:val="both"/>
        <w:rPr>
          <w:rFonts w:ascii="Calibri" w:hAnsi="Calibri"/>
          <w:color w:val="222222"/>
          <w:sz w:val="22"/>
          <w:szCs w:val="22"/>
        </w:rPr>
      </w:pPr>
      <w:r w:rsidRPr="00721D30">
        <w:rPr>
          <w:rFonts w:ascii="Calibri" w:hAnsi="Calibri"/>
          <w:color w:val="222222"/>
          <w:spacing w:val="-3"/>
          <w:sz w:val="22"/>
          <w:szCs w:val="22"/>
        </w:rPr>
        <w:t>En su faceta internacional, durante su trayectoria profesional en ENAC ha sido </w:t>
      </w:r>
      <w:r w:rsidRPr="00721D30">
        <w:rPr>
          <w:rFonts w:ascii="Calibri" w:hAnsi="Calibri"/>
          <w:color w:val="222222"/>
          <w:sz w:val="22"/>
          <w:szCs w:val="22"/>
        </w:rPr>
        <w:t>Presidente del subcomité de certificación agroalimentaria de EA (European Accreditation), representante de</w:t>
      </w:r>
      <w:r w:rsidRPr="00F727AC">
        <w:rPr>
          <w:rFonts w:ascii="Calibri" w:hAnsi="Calibri"/>
          <w:color w:val="222222"/>
          <w:sz w:val="22"/>
          <w:szCs w:val="22"/>
        </w:rPr>
        <w:t xml:space="preserve"> EA en el Comité Ejecutivo de IAF (International Accreditation Forum), persona de contacto de IAF con el sector agroalimentario  y Vicepresidente del Comité de inspección de ILAC (International Laboratory Accreditation Cooperation).</w:t>
      </w:r>
    </w:p>
    <w:p w:rsidR="006737A6" w:rsidRPr="00F727AC" w:rsidRDefault="006737A6" w:rsidP="006737A6">
      <w:pPr>
        <w:shd w:val="clear" w:color="auto" w:fill="FFFFFF"/>
        <w:rPr>
          <w:rFonts w:ascii="Calibri" w:hAnsi="Calibri"/>
          <w:color w:val="222222"/>
          <w:sz w:val="22"/>
          <w:szCs w:val="22"/>
        </w:rPr>
      </w:pPr>
    </w:p>
    <w:p w:rsidR="006737A6" w:rsidRPr="00F727AC" w:rsidRDefault="006737A6" w:rsidP="006737A6">
      <w:pPr>
        <w:shd w:val="clear" w:color="auto" w:fill="FFFFFF"/>
        <w:jc w:val="both"/>
        <w:rPr>
          <w:rFonts w:ascii="Calibri" w:hAnsi="Calibri"/>
          <w:color w:val="222222"/>
          <w:sz w:val="22"/>
          <w:szCs w:val="22"/>
        </w:rPr>
      </w:pPr>
      <w:r w:rsidRPr="00F727AC">
        <w:rPr>
          <w:rFonts w:ascii="Calibri" w:hAnsi="Calibri"/>
          <w:color w:val="222222"/>
          <w:sz w:val="22"/>
          <w:szCs w:val="22"/>
        </w:rPr>
        <w:t>Desde 2005 forma parte del Comité Ejecutivo de EA y en 2013 fue elegido Presidente del Comité de Armonización Horizontal de la misma organización. </w:t>
      </w:r>
    </w:p>
    <w:p w:rsidR="006737A6" w:rsidRPr="00F727AC" w:rsidRDefault="006737A6" w:rsidP="006737A6">
      <w:pPr>
        <w:shd w:val="clear" w:color="auto" w:fill="FFFFFF"/>
        <w:jc w:val="both"/>
        <w:rPr>
          <w:rFonts w:ascii="Calibri" w:hAnsi="Calibri"/>
          <w:color w:val="222222"/>
          <w:sz w:val="22"/>
          <w:szCs w:val="22"/>
        </w:rPr>
      </w:pPr>
    </w:p>
    <w:p w:rsidR="00C826D8" w:rsidRPr="00F727AC" w:rsidRDefault="00C826D8" w:rsidP="00C826D8">
      <w:pPr>
        <w:pStyle w:val="Sinespaciado"/>
        <w:jc w:val="both"/>
        <w:rPr>
          <w:rFonts w:ascii="Calibri" w:hAnsi="Calibri" w:cs="Tahoma"/>
          <w:b/>
          <w:noProof/>
          <w:sz w:val="22"/>
          <w:szCs w:val="22"/>
          <w:u w:val="single"/>
        </w:rPr>
      </w:pPr>
      <w:r w:rsidRPr="00F727AC">
        <w:rPr>
          <w:rFonts w:ascii="Calibri" w:hAnsi="Calibri" w:cs="Tahoma"/>
          <w:b/>
          <w:noProof/>
          <w:sz w:val="22"/>
          <w:szCs w:val="22"/>
          <w:u w:val="single"/>
        </w:rPr>
        <w:t xml:space="preserve">Sobre ENAC </w:t>
      </w:r>
    </w:p>
    <w:p w:rsidR="00C826D8" w:rsidRPr="00F727AC" w:rsidRDefault="00C826D8" w:rsidP="00C826D8">
      <w:pPr>
        <w:pStyle w:val="Sinespaciado"/>
        <w:jc w:val="both"/>
        <w:rPr>
          <w:rFonts w:ascii="Calibri" w:hAnsi="Calibri"/>
          <w:sz w:val="22"/>
          <w:szCs w:val="22"/>
        </w:rPr>
      </w:pPr>
    </w:p>
    <w:p w:rsidR="00C826D8" w:rsidRPr="00F727AC" w:rsidRDefault="00C826D8" w:rsidP="00C826D8">
      <w:pPr>
        <w:pStyle w:val="Sinespaciado"/>
        <w:jc w:val="both"/>
        <w:rPr>
          <w:rFonts w:ascii="Calibri" w:hAnsi="Calibri"/>
          <w:sz w:val="22"/>
          <w:szCs w:val="22"/>
        </w:rPr>
      </w:pPr>
      <w:r w:rsidRPr="00F727AC">
        <w:rPr>
          <w:rFonts w:ascii="Calibri" w:hAnsi="Calibri"/>
          <w:sz w:val="22"/>
          <w:szCs w:val="22"/>
        </w:rPr>
        <w:t xml:space="preserve">La Entidad Nacional de Acreditación – ENAC – es la entidad  designada por el Gobierno, en resolución del Consejo de Ministros en 2010 como Organismo de Acreditación en España. La designación a favor de ENAC da cumplimiento al conjunto de medidas tomadas por la UE para mejorar  el funcionamiento del Mercado Interior, entre ellas, la de  fijar un modelo de acreditación basado en la existencia de un Organismo Nacional de Acreditación, formalmente designado por cada Estado Miembro. </w:t>
      </w:r>
    </w:p>
    <w:p w:rsidR="00C826D8" w:rsidRPr="00F727AC" w:rsidRDefault="00C826D8" w:rsidP="00C826D8">
      <w:pPr>
        <w:pStyle w:val="Sinespaciado"/>
        <w:jc w:val="both"/>
        <w:rPr>
          <w:rFonts w:ascii="Calibri" w:hAnsi="Calibri"/>
          <w:sz w:val="22"/>
          <w:szCs w:val="22"/>
        </w:rPr>
      </w:pPr>
    </w:p>
    <w:p w:rsidR="00C826D8" w:rsidRPr="00F727AC" w:rsidRDefault="00C826D8" w:rsidP="00C826D8">
      <w:pPr>
        <w:pStyle w:val="Sinespaciado"/>
        <w:jc w:val="both"/>
        <w:rPr>
          <w:rFonts w:ascii="Calibri" w:hAnsi="Calibri"/>
          <w:sz w:val="22"/>
          <w:szCs w:val="22"/>
        </w:rPr>
      </w:pPr>
      <w:r w:rsidRPr="00F727AC">
        <w:rPr>
          <w:rFonts w:ascii="Calibri" w:hAnsi="Calibri"/>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w:t>
      </w:r>
      <w:r w:rsidR="004B63B3" w:rsidRPr="00F727AC">
        <w:rPr>
          <w:rFonts w:ascii="Calibri" w:hAnsi="Calibri"/>
          <w:b/>
          <w:sz w:val="22"/>
          <w:szCs w:val="22"/>
        </w:rPr>
        <w:t>85</w:t>
      </w:r>
      <w:r w:rsidRPr="00F727AC">
        <w:rPr>
          <w:rFonts w:ascii="Calibri" w:hAnsi="Calibri"/>
          <w:b/>
          <w:sz w:val="22"/>
          <w:szCs w:val="22"/>
        </w:rPr>
        <w:t xml:space="preserve"> países en los que su marca es reconocida y aceptada</w:t>
      </w:r>
      <w:r w:rsidRPr="00F727AC">
        <w:rPr>
          <w:rFonts w:ascii="Calibri" w:hAnsi="Calibri"/>
          <w:sz w:val="22"/>
          <w:szCs w:val="22"/>
        </w:rPr>
        <w:t xml:space="preserve">, gracias a los acuerdos de reconocimiento que ENAC ha suscrito con sus entidades de acreditación. </w:t>
      </w:r>
    </w:p>
    <w:p w:rsidR="00C826D8" w:rsidRPr="00C826D8" w:rsidRDefault="00C826D8" w:rsidP="00C826D8">
      <w:pPr>
        <w:pStyle w:val="Sinespaciado"/>
        <w:pBdr>
          <w:bottom w:val="single" w:sz="12" w:space="1" w:color="auto"/>
        </w:pBdr>
        <w:jc w:val="both"/>
        <w:rPr>
          <w:rFonts w:asciiTheme="minorHAnsi" w:hAnsiTheme="minorHAnsi"/>
        </w:rPr>
      </w:pPr>
    </w:p>
    <w:p w:rsidR="00C826D8" w:rsidRPr="00C826D8" w:rsidRDefault="00C826D8" w:rsidP="00C826D8">
      <w:pPr>
        <w:pStyle w:val="Sinespaciado"/>
        <w:jc w:val="both"/>
        <w:rPr>
          <w:rFonts w:asciiTheme="minorHAnsi" w:hAnsiTheme="minorHAnsi" w:cs="Tahoma"/>
          <w:noProof/>
        </w:rPr>
      </w:pPr>
    </w:p>
    <w:p w:rsidR="00C826D8" w:rsidRPr="00C826D8" w:rsidRDefault="00C826D8" w:rsidP="00C826D8">
      <w:pPr>
        <w:pStyle w:val="Sinespaciado"/>
        <w:jc w:val="both"/>
        <w:rPr>
          <w:rFonts w:asciiTheme="minorHAnsi" w:hAnsiTheme="minorHAnsi"/>
        </w:rPr>
      </w:pPr>
      <w:r w:rsidRPr="00C826D8">
        <w:rPr>
          <w:rFonts w:asciiTheme="minorHAnsi" w:hAnsiTheme="minorHAnsi"/>
        </w:rPr>
        <w:t>Para más información sobre la nota de prensa, resolver dudas o gestionar entrevistas</w:t>
      </w:r>
    </w:p>
    <w:p w:rsidR="00C826D8" w:rsidRPr="00C826D8" w:rsidRDefault="00C826D8" w:rsidP="00C826D8">
      <w:pPr>
        <w:pStyle w:val="Sinespaciado"/>
        <w:jc w:val="both"/>
        <w:rPr>
          <w:rFonts w:asciiTheme="minorHAnsi" w:hAnsiTheme="minorHAnsi"/>
        </w:rPr>
      </w:pPr>
      <w:r w:rsidRPr="00C826D8">
        <w:rPr>
          <w:rFonts w:asciiTheme="minorHAnsi" w:hAnsiTheme="minorHAnsi"/>
        </w:rPr>
        <w:t>Eva Martín</w:t>
      </w:r>
    </w:p>
    <w:p w:rsidR="00C826D8" w:rsidRPr="00C826D8" w:rsidRDefault="00C826D8" w:rsidP="00C826D8">
      <w:pPr>
        <w:pStyle w:val="Sinespaciado"/>
        <w:jc w:val="both"/>
        <w:rPr>
          <w:rFonts w:asciiTheme="minorHAnsi" w:hAnsiTheme="minorHAnsi"/>
        </w:rPr>
      </w:pPr>
      <w:r w:rsidRPr="00C826D8">
        <w:rPr>
          <w:rFonts w:asciiTheme="minorHAnsi" w:hAnsiTheme="minorHAnsi"/>
        </w:rPr>
        <w:t xml:space="preserve">Tfno. 628 17 49 01 </w:t>
      </w:r>
    </w:p>
    <w:p w:rsidR="00C826D8" w:rsidRPr="00C826D8" w:rsidRDefault="00ED31CA" w:rsidP="00C826D8">
      <w:pPr>
        <w:pStyle w:val="Sinespaciado"/>
        <w:jc w:val="both"/>
        <w:rPr>
          <w:rFonts w:asciiTheme="minorHAnsi" w:hAnsiTheme="minorHAnsi"/>
        </w:rPr>
      </w:pPr>
      <w:hyperlink r:id="rId10" w:history="1">
        <w:r w:rsidR="00C826D8" w:rsidRPr="00C826D8">
          <w:rPr>
            <w:rStyle w:val="Hipervnculo"/>
            <w:rFonts w:asciiTheme="minorHAnsi" w:hAnsiTheme="minorHAnsi"/>
          </w:rPr>
          <w:t>evamc@varenga.es</w:t>
        </w:r>
      </w:hyperlink>
      <w:r w:rsidR="00C826D8" w:rsidRPr="00C826D8">
        <w:rPr>
          <w:rFonts w:asciiTheme="minorHAnsi" w:hAnsiTheme="minorHAnsi"/>
        </w:rPr>
        <w:t xml:space="preserve"> </w:t>
      </w:r>
    </w:p>
    <w:sectPr w:rsidR="00C826D8" w:rsidRPr="00C826D8" w:rsidSect="00855A5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92" w:rsidRDefault="00440C92" w:rsidP="004A3521">
      <w:r>
        <w:separator/>
      </w:r>
    </w:p>
  </w:endnote>
  <w:endnote w:type="continuationSeparator" w:id="0">
    <w:p w:rsidR="00440C92" w:rsidRDefault="00440C92"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92" w:rsidRDefault="00440C92" w:rsidP="004A3521">
      <w:r>
        <w:separator/>
      </w:r>
    </w:p>
  </w:footnote>
  <w:footnote w:type="continuationSeparator" w:id="0">
    <w:p w:rsidR="00440C92" w:rsidRDefault="00440C92"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0"/>
  </w:num>
  <w:num w:numId="5">
    <w:abstractNumId w:val="10"/>
  </w:num>
  <w:num w:numId="6">
    <w:abstractNumId w:val="0"/>
  </w:num>
  <w:num w:numId="7">
    <w:abstractNumId w:val="6"/>
  </w:num>
  <w:num w:numId="8">
    <w:abstractNumId w:val="5"/>
  </w:num>
  <w:num w:numId="9">
    <w:abstractNumId w:val="13"/>
  </w:num>
  <w:num w:numId="10">
    <w:abstractNumId w:val="8"/>
  </w:num>
  <w:num w:numId="11">
    <w:abstractNumId w:val="16"/>
  </w:num>
  <w:num w:numId="12">
    <w:abstractNumId w:val="11"/>
  </w:num>
  <w:num w:numId="13">
    <w:abstractNumId w:val="3"/>
  </w:num>
  <w:num w:numId="14">
    <w:abstractNumId w:val="14"/>
  </w:num>
  <w:num w:numId="15">
    <w:abstractNumId w:val="7"/>
  </w:num>
  <w:num w:numId="16">
    <w:abstractNumId w:val="9"/>
  </w:num>
  <w:num w:numId="17">
    <w:abstractNumId w:val="1"/>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97C74"/>
    <w:rsid w:val="000A0AC1"/>
    <w:rsid w:val="000A445C"/>
    <w:rsid w:val="000B64F1"/>
    <w:rsid w:val="000D1616"/>
    <w:rsid w:val="000E22D5"/>
    <w:rsid w:val="000E74CF"/>
    <w:rsid w:val="000F1058"/>
    <w:rsid w:val="000F146B"/>
    <w:rsid w:val="000F7E2C"/>
    <w:rsid w:val="001071E8"/>
    <w:rsid w:val="0012079A"/>
    <w:rsid w:val="001273E2"/>
    <w:rsid w:val="00133524"/>
    <w:rsid w:val="00134B55"/>
    <w:rsid w:val="001633FC"/>
    <w:rsid w:val="00166F8C"/>
    <w:rsid w:val="001747AD"/>
    <w:rsid w:val="00174A45"/>
    <w:rsid w:val="0019398B"/>
    <w:rsid w:val="00196E3C"/>
    <w:rsid w:val="001A342A"/>
    <w:rsid w:val="001C09BB"/>
    <w:rsid w:val="001C2008"/>
    <w:rsid w:val="001C5A58"/>
    <w:rsid w:val="001C600E"/>
    <w:rsid w:val="001D074F"/>
    <w:rsid w:val="001F27E8"/>
    <w:rsid w:val="002009CD"/>
    <w:rsid w:val="0021063B"/>
    <w:rsid w:val="00210C09"/>
    <w:rsid w:val="002306E5"/>
    <w:rsid w:val="00241896"/>
    <w:rsid w:val="002431F3"/>
    <w:rsid w:val="002474D4"/>
    <w:rsid w:val="00255B0A"/>
    <w:rsid w:val="00270145"/>
    <w:rsid w:val="00280C6F"/>
    <w:rsid w:val="0028651C"/>
    <w:rsid w:val="002875F6"/>
    <w:rsid w:val="002B099C"/>
    <w:rsid w:val="002B3672"/>
    <w:rsid w:val="002B7016"/>
    <w:rsid w:val="002D02F5"/>
    <w:rsid w:val="002E2DB2"/>
    <w:rsid w:val="002E3582"/>
    <w:rsid w:val="002F2A11"/>
    <w:rsid w:val="002F6A33"/>
    <w:rsid w:val="00302323"/>
    <w:rsid w:val="00305D00"/>
    <w:rsid w:val="00326070"/>
    <w:rsid w:val="00331024"/>
    <w:rsid w:val="00332528"/>
    <w:rsid w:val="00334ABD"/>
    <w:rsid w:val="00351BEF"/>
    <w:rsid w:val="003724C0"/>
    <w:rsid w:val="00374ADF"/>
    <w:rsid w:val="00377A80"/>
    <w:rsid w:val="00387239"/>
    <w:rsid w:val="003B54A8"/>
    <w:rsid w:val="003D0C2A"/>
    <w:rsid w:val="003D6829"/>
    <w:rsid w:val="003F0557"/>
    <w:rsid w:val="003F0B1B"/>
    <w:rsid w:val="00414A01"/>
    <w:rsid w:val="0042154B"/>
    <w:rsid w:val="004227AA"/>
    <w:rsid w:val="00440C92"/>
    <w:rsid w:val="00451685"/>
    <w:rsid w:val="004543A3"/>
    <w:rsid w:val="004745AD"/>
    <w:rsid w:val="00480FCB"/>
    <w:rsid w:val="00482319"/>
    <w:rsid w:val="00492A76"/>
    <w:rsid w:val="00492C85"/>
    <w:rsid w:val="004A3521"/>
    <w:rsid w:val="004A6439"/>
    <w:rsid w:val="004B63B3"/>
    <w:rsid w:val="004C39E5"/>
    <w:rsid w:val="004C6464"/>
    <w:rsid w:val="004C787F"/>
    <w:rsid w:val="004D7F11"/>
    <w:rsid w:val="004E476D"/>
    <w:rsid w:val="004E5A01"/>
    <w:rsid w:val="004F3792"/>
    <w:rsid w:val="00503878"/>
    <w:rsid w:val="00505B28"/>
    <w:rsid w:val="00525451"/>
    <w:rsid w:val="00531B2E"/>
    <w:rsid w:val="005514F9"/>
    <w:rsid w:val="005541EA"/>
    <w:rsid w:val="0055568E"/>
    <w:rsid w:val="005674C6"/>
    <w:rsid w:val="00576075"/>
    <w:rsid w:val="00582A13"/>
    <w:rsid w:val="00590646"/>
    <w:rsid w:val="005956CE"/>
    <w:rsid w:val="005B3472"/>
    <w:rsid w:val="005B522D"/>
    <w:rsid w:val="005B65B1"/>
    <w:rsid w:val="005C7DF9"/>
    <w:rsid w:val="005E2011"/>
    <w:rsid w:val="005E43E0"/>
    <w:rsid w:val="005E56DC"/>
    <w:rsid w:val="005F6147"/>
    <w:rsid w:val="006069F6"/>
    <w:rsid w:val="00615F70"/>
    <w:rsid w:val="006164A9"/>
    <w:rsid w:val="0062373D"/>
    <w:rsid w:val="00625AB4"/>
    <w:rsid w:val="00626AF5"/>
    <w:rsid w:val="00637D00"/>
    <w:rsid w:val="0065576D"/>
    <w:rsid w:val="0066157C"/>
    <w:rsid w:val="0066525F"/>
    <w:rsid w:val="0066786E"/>
    <w:rsid w:val="006737A6"/>
    <w:rsid w:val="00691743"/>
    <w:rsid w:val="00694A37"/>
    <w:rsid w:val="006C658D"/>
    <w:rsid w:val="006C7D53"/>
    <w:rsid w:val="006D26AC"/>
    <w:rsid w:val="00703261"/>
    <w:rsid w:val="00715B65"/>
    <w:rsid w:val="00721D30"/>
    <w:rsid w:val="00727763"/>
    <w:rsid w:val="00727F81"/>
    <w:rsid w:val="00730CAD"/>
    <w:rsid w:val="0075646C"/>
    <w:rsid w:val="00762962"/>
    <w:rsid w:val="007650E1"/>
    <w:rsid w:val="00771F62"/>
    <w:rsid w:val="00773DD8"/>
    <w:rsid w:val="00780AA2"/>
    <w:rsid w:val="007C00C5"/>
    <w:rsid w:val="00802869"/>
    <w:rsid w:val="008038E7"/>
    <w:rsid w:val="00822349"/>
    <w:rsid w:val="00823C4A"/>
    <w:rsid w:val="00837E26"/>
    <w:rsid w:val="0084393A"/>
    <w:rsid w:val="00845421"/>
    <w:rsid w:val="00852EBE"/>
    <w:rsid w:val="00855A5A"/>
    <w:rsid w:val="00866A04"/>
    <w:rsid w:val="00876845"/>
    <w:rsid w:val="008A7035"/>
    <w:rsid w:val="008B1079"/>
    <w:rsid w:val="008B2DA9"/>
    <w:rsid w:val="008C4924"/>
    <w:rsid w:val="008C6F4E"/>
    <w:rsid w:val="008D31ED"/>
    <w:rsid w:val="008D7455"/>
    <w:rsid w:val="008E0794"/>
    <w:rsid w:val="008F55CC"/>
    <w:rsid w:val="00903E57"/>
    <w:rsid w:val="00922176"/>
    <w:rsid w:val="00925291"/>
    <w:rsid w:val="00935B71"/>
    <w:rsid w:val="0094367D"/>
    <w:rsid w:val="009459E5"/>
    <w:rsid w:val="0096136D"/>
    <w:rsid w:val="00982E87"/>
    <w:rsid w:val="009A1F61"/>
    <w:rsid w:val="009A5EB6"/>
    <w:rsid w:val="009A7B08"/>
    <w:rsid w:val="009B3DF7"/>
    <w:rsid w:val="009C2F65"/>
    <w:rsid w:val="009C65AF"/>
    <w:rsid w:val="009C74FF"/>
    <w:rsid w:val="009D09EE"/>
    <w:rsid w:val="009D3BA7"/>
    <w:rsid w:val="009D67A8"/>
    <w:rsid w:val="009E3066"/>
    <w:rsid w:val="009F0392"/>
    <w:rsid w:val="009F0AF2"/>
    <w:rsid w:val="009F18B0"/>
    <w:rsid w:val="00A11F45"/>
    <w:rsid w:val="00A16513"/>
    <w:rsid w:val="00A16E6F"/>
    <w:rsid w:val="00A24729"/>
    <w:rsid w:val="00A24F44"/>
    <w:rsid w:val="00A41963"/>
    <w:rsid w:val="00A52CEF"/>
    <w:rsid w:val="00A60A9D"/>
    <w:rsid w:val="00A923E9"/>
    <w:rsid w:val="00A977D0"/>
    <w:rsid w:val="00AD3B33"/>
    <w:rsid w:val="00AD75B0"/>
    <w:rsid w:val="00AE39EA"/>
    <w:rsid w:val="00AE55A2"/>
    <w:rsid w:val="00AE6CB1"/>
    <w:rsid w:val="00AF2F4A"/>
    <w:rsid w:val="00B05D0A"/>
    <w:rsid w:val="00B1782C"/>
    <w:rsid w:val="00B20799"/>
    <w:rsid w:val="00B36196"/>
    <w:rsid w:val="00B44571"/>
    <w:rsid w:val="00B457E2"/>
    <w:rsid w:val="00B505A4"/>
    <w:rsid w:val="00B70EF0"/>
    <w:rsid w:val="00B71578"/>
    <w:rsid w:val="00B8040D"/>
    <w:rsid w:val="00BA3D86"/>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535CC"/>
    <w:rsid w:val="00C826D8"/>
    <w:rsid w:val="00C94408"/>
    <w:rsid w:val="00CB2C42"/>
    <w:rsid w:val="00CC580C"/>
    <w:rsid w:val="00CF1978"/>
    <w:rsid w:val="00CF2B92"/>
    <w:rsid w:val="00CF5160"/>
    <w:rsid w:val="00D0051E"/>
    <w:rsid w:val="00D015F6"/>
    <w:rsid w:val="00D020EE"/>
    <w:rsid w:val="00D104DA"/>
    <w:rsid w:val="00D14EB0"/>
    <w:rsid w:val="00D2034B"/>
    <w:rsid w:val="00D20D97"/>
    <w:rsid w:val="00D27BBD"/>
    <w:rsid w:val="00D33D63"/>
    <w:rsid w:val="00D33FCD"/>
    <w:rsid w:val="00D460AE"/>
    <w:rsid w:val="00D473E8"/>
    <w:rsid w:val="00D510BC"/>
    <w:rsid w:val="00D57603"/>
    <w:rsid w:val="00D57AA8"/>
    <w:rsid w:val="00D6201D"/>
    <w:rsid w:val="00D67498"/>
    <w:rsid w:val="00D71DE4"/>
    <w:rsid w:val="00D8676B"/>
    <w:rsid w:val="00DA4240"/>
    <w:rsid w:val="00DB4430"/>
    <w:rsid w:val="00DB7AD1"/>
    <w:rsid w:val="00DE1F72"/>
    <w:rsid w:val="00DE713F"/>
    <w:rsid w:val="00DF6FCE"/>
    <w:rsid w:val="00E04536"/>
    <w:rsid w:val="00E07853"/>
    <w:rsid w:val="00E107F2"/>
    <w:rsid w:val="00E21EE3"/>
    <w:rsid w:val="00E2646F"/>
    <w:rsid w:val="00E37F5D"/>
    <w:rsid w:val="00E72D6C"/>
    <w:rsid w:val="00E84B6E"/>
    <w:rsid w:val="00E85748"/>
    <w:rsid w:val="00E95C96"/>
    <w:rsid w:val="00EB06F9"/>
    <w:rsid w:val="00EC3755"/>
    <w:rsid w:val="00ED31CA"/>
    <w:rsid w:val="00EE30EE"/>
    <w:rsid w:val="00F03DC2"/>
    <w:rsid w:val="00F270F7"/>
    <w:rsid w:val="00F330E0"/>
    <w:rsid w:val="00F5443E"/>
    <w:rsid w:val="00F56C72"/>
    <w:rsid w:val="00F65D7E"/>
    <w:rsid w:val="00F727AC"/>
    <w:rsid w:val="00F74F39"/>
    <w:rsid w:val="00F8198A"/>
    <w:rsid w:val="00F81B87"/>
    <w:rsid w:val="00F82423"/>
    <w:rsid w:val="00FA2F70"/>
    <w:rsid w:val="00FB3107"/>
    <w:rsid w:val="00FB3401"/>
    <w:rsid w:val="00FB7824"/>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amc@varenga.es" TargetMode="Externa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121A-033B-4B4C-8989-F76B5AE9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Denise Díaz Pozo</cp:lastModifiedBy>
  <cp:revision>11</cp:revision>
  <cp:lastPrinted>2017-02-17T08:26:00Z</cp:lastPrinted>
  <dcterms:created xsi:type="dcterms:W3CDTF">2017-05-26T09:01:00Z</dcterms:created>
  <dcterms:modified xsi:type="dcterms:W3CDTF">2017-05-30T06:42:00Z</dcterms:modified>
</cp:coreProperties>
</file>