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56C90" w14:textId="77777777" w:rsidR="0049772C" w:rsidRDefault="0049772C">
      <w:pPr>
        <w:jc w:val="center"/>
        <w:rPr>
          <w:rFonts w:ascii="Roboto" w:eastAsia="Roboto" w:hAnsi="Roboto" w:cs="Roboto"/>
          <w:sz w:val="34"/>
          <w:szCs w:val="34"/>
        </w:rPr>
      </w:pPr>
    </w:p>
    <w:p w14:paraId="0D856C91" w14:textId="77777777" w:rsidR="0049772C" w:rsidRDefault="004D7771">
      <w:pPr>
        <w:jc w:val="center"/>
        <w:rPr>
          <w:rFonts w:ascii="Roboto" w:eastAsia="Roboto" w:hAnsi="Roboto" w:cs="Roboto"/>
          <w:b/>
          <w:sz w:val="36"/>
          <w:szCs w:val="36"/>
          <w:lang w:val="es-ES"/>
        </w:rPr>
      </w:pPr>
      <w:r w:rsidRPr="27AF8C6A">
        <w:rPr>
          <w:rFonts w:ascii="Roboto" w:eastAsia="Roboto" w:hAnsi="Roboto" w:cs="Roboto"/>
          <w:b/>
          <w:sz w:val="36"/>
          <w:szCs w:val="36"/>
          <w:lang w:val="es-ES"/>
        </w:rPr>
        <w:t xml:space="preserve">Los organismos internacionales de acreditación, IAF e ILAC, se fusionan para dar paso a Global </w:t>
      </w:r>
      <w:proofErr w:type="spellStart"/>
      <w:r w:rsidRPr="27AF8C6A">
        <w:rPr>
          <w:rFonts w:ascii="Roboto" w:eastAsia="Roboto" w:hAnsi="Roboto" w:cs="Roboto"/>
          <w:b/>
          <w:sz w:val="36"/>
          <w:szCs w:val="36"/>
          <w:lang w:val="es-ES"/>
        </w:rPr>
        <w:t>Accreditation</w:t>
      </w:r>
      <w:proofErr w:type="spellEnd"/>
      <w:r w:rsidRPr="27AF8C6A">
        <w:rPr>
          <w:rFonts w:ascii="Roboto" w:eastAsia="Roboto" w:hAnsi="Roboto" w:cs="Roboto"/>
          <w:b/>
          <w:sz w:val="36"/>
          <w:szCs w:val="36"/>
          <w:lang w:val="es-ES"/>
        </w:rPr>
        <w:t xml:space="preserve"> </w:t>
      </w:r>
      <w:proofErr w:type="spellStart"/>
      <w:r w:rsidRPr="27AF8C6A">
        <w:rPr>
          <w:rFonts w:ascii="Roboto" w:eastAsia="Roboto" w:hAnsi="Roboto" w:cs="Roboto"/>
          <w:b/>
          <w:sz w:val="36"/>
          <w:szCs w:val="36"/>
          <w:lang w:val="es-ES"/>
        </w:rPr>
        <w:t>Cooperation</w:t>
      </w:r>
      <w:proofErr w:type="spellEnd"/>
      <w:r w:rsidRPr="27AF8C6A">
        <w:rPr>
          <w:rFonts w:ascii="Roboto" w:eastAsia="Roboto" w:hAnsi="Roboto" w:cs="Roboto"/>
          <w:b/>
          <w:sz w:val="36"/>
          <w:szCs w:val="36"/>
          <w:lang w:val="es-ES"/>
        </w:rPr>
        <w:t xml:space="preserve"> </w:t>
      </w:r>
      <w:proofErr w:type="spellStart"/>
      <w:r w:rsidRPr="27AF8C6A">
        <w:rPr>
          <w:rFonts w:ascii="Roboto" w:eastAsia="Roboto" w:hAnsi="Roboto" w:cs="Roboto"/>
          <w:b/>
          <w:sz w:val="36"/>
          <w:szCs w:val="36"/>
          <w:lang w:val="es-ES"/>
        </w:rPr>
        <w:t>Incorporated</w:t>
      </w:r>
      <w:proofErr w:type="spellEnd"/>
    </w:p>
    <w:p w14:paraId="0D856C92" w14:textId="77777777" w:rsidR="0049772C" w:rsidRDefault="004D77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center"/>
        <w:rPr>
          <w:rFonts w:ascii="Roboto" w:eastAsia="Roboto" w:hAnsi="Roboto" w:cs="Roboto"/>
          <w:sz w:val="34"/>
          <w:szCs w:val="34"/>
        </w:rPr>
      </w:pPr>
      <w:r>
        <w:rPr>
          <w:rFonts w:ascii="Roboto" w:eastAsia="Roboto" w:hAnsi="Roboto" w:cs="Roboto"/>
          <w:b/>
          <w:bCs/>
          <w:sz w:val="34"/>
          <w:szCs w:val="34"/>
        </w:rPr>
        <w:t xml:space="preserve"> </w:t>
      </w:r>
      <w:r>
        <w:rPr>
          <w:rFonts w:ascii="Roboto" w:eastAsia="Roboto" w:hAnsi="Roboto" w:cs="Roboto"/>
          <w:sz w:val="34"/>
          <w:szCs w:val="34"/>
        </w:rPr>
        <w:t xml:space="preserve"> </w:t>
      </w:r>
    </w:p>
    <w:p w14:paraId="0D856C93" w14:textId="77777777" w:rsidR="0049772C" w:rsidRDefault="004D7771">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jc w:val="both"/>
        <w:rPr>
          <w:rFonts w:ascii="Roboto" w:eastAsia="Roboto" w:hAnsi="Roboto" w:cs="Roboto"/>
          <w:sz w:val="20"/>
          <w:szCs w:val="20"/>
        </w:rPr>
      </w:pPr>
      <w:r>
        <w:rPr>
          <w:rFonts w:ascii="Roboto" w:eastAsia="Roboto" w:hAnsi="Roboto" w:cs="Roboto"/>
          <w:b/>
          <w:bCs/>
          <w:sz w:val="20"/>
          <w:szCs w:val="20"/>
        </w:rPr>
        <w:t xml:space="preserve">Este año se ha producido la admisión de los primeros 156 socios, entre los que se encuentra el organismo de acreditación español, ENAC, si bien la nueva organización funcionará plenamente a partir del 1 de enero de 2026. </w:t>
      </w:r>
    </w:p>
    <w:p w14:paraId="0D856C94" w14:textId="77777777" w:rsidR="0049772C" w:rsidRDefault="004D7771">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jc w:val="both"/>
        <w:rPr>
          <w:rFonts w:ascii="Roboto" w:eastAsia="Roboto" w:hAnsi="Roboto" w:cs="Roboto"/>
          <w:b/>
          <w:bCs/>
          <w:sz w:val="20"/>
          <w:szCs w:val="20"/>
        </w:rPr>
      </w:pPr>
      <w:r>
        <w:rPr>
          <w:rFonts w:ascii="Roboto" w:eastAsia="Roboto" w:hAnsi="Roboto" w:cs="Roboto"/>
          <w:b/>
          <w:bCs/>
          <w:sz w:val="20"/>
          <w:szCs w:val="20"/>
        </w:rPr>
        <w:t xml:space="preserve">La creación de la nueva organización no tiene ningún impacto en los organismos de evaluación de la conformidad acreditados que podrán seguir usando las marcas de ILAC e IAF hasta el momento en que se diseñe y registre una nueva marca, momento en el cual ENAC lo comunicará oportunamente. </w:t>
      </w:r>
    </w:p>
    <w:p w14:paraId="0D856C95" w14:textId="77777777" w:rsidR="0049772C" w:rsidRDefault="0049772C">
      <w:pPr>
        <w:pBdr>
          <w:top w:val="none" w:sz="0" w:space="0" w:color="000000"/>
          <w:bottom w:val="none" w:sz="0" w:space="0" w:color="000000"/>
          <w:right w:val="none" w:sz="0" w:space="0" w:color="000000"/>
          <w:between w:val="none" w:sz="0" w:space="0" w:color="000000"/>
        </w:pBdr>
        <w:spacing w:line="259" w:lineRule="auto"/>
        <w:ind w:left="720"/>
        <w:rPr>
          <w:rFonts w:ascii="Roboto" w:eastAsia="Roboto" w:hAnsi="Roboto" w:cs="Roboto"/>
          <w:sz w:val="20"/>
          <w:szCs w:val="20"/>
        </w:rPr>
      </w:pPr>
    </w:p>
    <w:p w14:paraId="0A9FF5E6" w14:textId="576C457A" w:rsidR="007263E4" w:rsidRDefault="374CDC89" w:rsidP="5F21D03B">
      <w:pPr>
        <w:shd w:val="clear" w:color="auto" w:fill="FFFFFF" w:themeFill="background1"/>
        <w:jc w:val="both"/>
        <w:rPr>
          <w:rFonts w:ascii="Roboto" w:eastAsia="Roboto" w:hAnsi="Roboto" w:cs="Roboto"/>
          <w:sz w:val="22"/>
          <w:szCs w:val="22"/>
          <w:lang w:val="es-ES"/>
        </w:rPr>
      </w:pPr>
      <w:r w:rsidRPr="5F21D03B">
        <w:rPr>
          <w:rFonts w:ascii="Roboto" w:eastAsia="Roboto" w:hAnsi="Roboto" w:cs="Roboto"/>
          <w:color w:val="000000" w:themeColor="text1"/>
          <w:sz w:val="22"/>
          <w:szCs w:val="22"/>
          <w:lang w:val="es-ES"/>
        </w:rPr>
        <w:t xml:space="preserve">Madrid, 12 de noviembre de 2025. – En el marco de la reunión anual de las organizaciones de acreditadores, International </w:t>
      </w:r>
      <w:proofErr w:type="spellStart"/>
      <w:r w:rsidRPr="5F21D03B">
        <w:rPr>
          <w:rFonts w:ascii="Roboto" w:eastAsia="Roboto" w:hAnsi="Roboto" w:cs="Roboto"/>
          <w:color w:val="000000" w:themeColor="text1"/>
          <w:sz w:val="22"/>
          <w:szCs w:val="22"/>
          <w:lang w:val="es-ES"/>
        </w:rPr>
        <w:t>Laboratory</w:t>
      </w:r>
      <w:proofErr w:type="spellEnd"/>
      <w:r w:rsidRPr="5F21D03B">
        <w:rPr>
          <w:rFonts w:ascii="Roboto" w:eastAsia="Roboto" w:hAnsi="Roboto" w:cs="Roboto"/>
          <w:color w:val="000000" w:themeColor="text1"/>
          <w:sz w:val="22"/>
          <w:szCs w:val="22"/>
          <w:lang w:val="es-ES"/>
        </w:rPr>
        <w:t xml:space="preserve"> </w:t>
      </w:r>
      <w:proofErr w:type="spellStart"/>
      <w:r w:rsidRPr="5F21D03B">
        <w:rPr>
          <w:rFonts w:ascii="Roboto" w:eastAsia="Roboto" w:hAnsi="Roboto" w:cs="Roboto"/>
          <w:color w:val="000000" w:themeColor="text1"/>
          <w:sz w:val="22"/>
          <w:szCs w:val="22"/>
          <w:lang w:val="es-ES"/>
        </w:rPr>
        <w:t>Accreditation</w:t>
      </w:r>
      <w:proofErr w:type="spellEnd"/>
      <w:r w:rsidRPr="5F21D03B">
        <w:rPr>
          <w:rFonts w:ascii="Roboto" w:eastAsia="Roboto" w:hAnsi="Roboto" w:cs="Roboto"/>
          <w:color w:val="000000" w:themeColor="text1"/>
          <w:sz w:val="22"/>
          <w:szCs w:val="22"/>
          <w:lang w:val="es-ES"/>
        </w:rPr>
        <w:t xml:space="preserve"> </w:t>
      </w:r>
      <w:proofErr w:type="spellStart"/>
      <w:r w:rsidRPr="5F21D03B">
        <w:rPr>
          <w:rFonts w:ascii="Roboto" w:eastAsia="Roboto" w:hAnsi="Roboto" w:cs="Roboto"/>
          <w:color w:val="000000" w:themeColor="text1"/>
          <w:sz w:val="22"/>
          <w:szCs w:val="22"/>
          <w:lang w:val="es-ES"/>
        </w:rPr>
        <w:t>Cooperation</w:t>
      </w:r>
      <w:proofErr w:type="spellEnd"/>
      <w:r w:rsidRPr="5F21D03B">
        <w:rPr>
          <w:rFonts w:ascii="Roboto" w:eastAsia="Roboto" w:hAnsi="Roboto" w:cs="Roboto"/>
          <w:color w:val="000000" w:themeColor="text1"/>
          <w:sz w:val="22"/>
          <w:szCs w:val="22"/>
          <w:lang w:val="es-ES"/>
        </w:rPr>
        <w:t xml:space="preserve"> (ILAC) e International </w:t>
      </w:r>
      <w:proofErr w:type="spellStart"/>
      <w:r w:rsidRPr="5F21D03B">
        <w:rPr>
          <w:rFonts w:ascii="Roboto" w:eastAsia="Roboto" w:hAnsi="Roboto" w:cs="Roboto"/>
          <w:color w:val="000000" w:themeColor="text1"/>
          <w:sz w:val="22"/>
          <w:szCs w:val="22"/>
          <w:lang w:val="es-ES"/>
        </w:rPr>
        <w:t>Accreditation</w:t>
      </w:r>
      <w:proofErr w:type="spellEnd"/>
      <w:r w:rsidRPr="5F21D03B">
        <w:rPr>
          <w:rFonts w:ascii="Roboto" w:eastAsia="Roboto" w:hAnsi="Roboto" w:cs="Roboto"/>
          <w:color w:val="000000" w:themeColor="text1"/>
          <w:sz w:val="22"/>
          <w:szCs w:val="22"/>
          <w:lang w:val="es-ES"/>
        </w:rPr>
        <w:t xml:space="preserve"> </w:t>
      </w:r>
      <w:proofErr w:type="spellStart"/>
      <w:r w:rsidRPr="5F21D03B">
        <w:rPr>
          <w:rFonts w:ascii="Roboto" w:eastAsia="Roboto" w:hAnsi="Roboto" w:cs="Roboto"/>
          <w:color w:val="000000" w:themeColor="text1"/>
          <w:sz w:val="22"/>
          <w:szCs w:val="22"/>
          <w:lang w:val="es-ES"/>
        </w:rPr>
        <w:t>Forum</w:t>
      </w:r>
      <w:proofErr w:type="spellEnd"/>
      <w:r w:rsidRPr="5F21D03B">
        <w:rPr>
          <w:rFonts w:ascii="Roboto" w:eastAsia="Roboto" w:hAnsi="Roboto" w:cs="Roboto"/>
          <w:color w:val="000000" w:themeColor="text1"/>
          <w:sz w:val="22"/>
          <w:szCs w:val="22"/>
          <w:lang w:val="es-ES"/>
        </w:rPr>
        <w:t xml:space="preserve"> (IAF) se ha celebrado la segunda Asamblea General de </w:t>
      </w:r>
      <w:r w:rsidRPr="5F21D03B">
        <w:rPr>
          <w:rFonts w:ascii="Roboto" w:eastAsia="Roboto" w:hAnsi="Roboto" w:cs="Roboto"/>
          <w:b/>
          <w:bCs/>
          <w:color w:val="000000" w:themeColor="text1"/>
          <w:sz w:val="22"/>
          <w:szCs w:val="22"/>
          <w:lang w:val="es-ES"/>
        </w:rPr>
        <w:t xml:space="preserve">Global </w:t>
      </w:r>
      <w:proofErr w:type="spellStart"/>
      <w:r w:rsidRPr="5F21D03B">
        <w:rPr>
          <w:rFonts w:ascii="Roboto" w:eastAsia="Roboto" w:hAnsi="Roboto" w:cs="Roboto"/>
          <w:b/>
          <w:bCs/>
          <w:color w:val="000000" w:themeColor="text1"/>
          <w:sz w:val="22"/>
          <w:szCs w:val="22"/>
          <w:lang w:val="es-ES"/>
        </w:rPr>
        <w:t>Accreditation</w:t>
      </w:r>
      <w:proofErr w:type="spellEnd"/>
      <w:r w:rsidRPr="5F21D03B">
        <w:rPr>
          <w:rFonts w:ascii="Roboto" w:eastAsia="Roboto" w:hAnsi="Roboto" w:cs="Roboto"/>
          <w:b/>
          <w:bCs/>
          <w:color w:val="000000" w:themeColor="text1"/>
          <w:sz w:val="22"/>
          <w:szCs w:val="22"/>
          <w:lang w:val="es-ES"/>
        </w:rPr>
        <w:t xml:space="preserve"> </w:t>
      </w:r>
      <w:proofErr w:type="spellStart"/>
      <w:r w:rsidRPr="5F21D03B">
        <w:rPr>
          <w:rFonts w:ascii="Roboto" w:eastAsia="Roboto" w:hAnsi="Roboto" w:cs="Roboto"/>
          <w:b/>
          <w:bCs/>
          <w:color w:val="000000" w:themeColor="text1"/>
          <w:sz w:val="22"/>
          <w:szCs w:val="22"/>
          <w:lang w:val="es-ES"/>
        </w:rPr>
        <w:t>Cooperation</w:t>
      </w:r>
      <w:proofErr w:type="spellEnd"/>
      <w:r w:rsidRPr="5F21D03B">
        <w:rPr>
          <w:rFonts w:ascii="Roboto" w:eastAsia="Roboto" w:hAnsi="Roboto" w:cs="Roboto"/>
          <w:b/>
          <w:bCs/>
          <w:color w:val="000000" w:themeColor="text1"/>
          <w:sz w:val="22"/>
          <w:szCs w:val="22"/>
          <w:lang w:val="es-ES"/>
        </w:rPr>
        <w:t xml:space="preserve"> </w:t>
      </w:r>
      <w:proofErr w:type="spellStart"/>
      <w:r w:rsidRPr="5F21D03B">
        <w:rPr>
          <w:rFonts w:ascii="Roboto" w:eastAsia="Roboto" w:hAnsi="Roboto" w:cs="Roboto"/>
          <w:b/>
          <w:bCs/>
          <w:color w:val="000000" w:themeColor="text1"/>
          <w:sz w:val="22"/>
          <w:szCs w:val="22"/>
          <w:lang w:val="es-ES"/>
        </w:rPr>
        <w:t>Incorporated</w:t>
      </w:r>
      <w:proofErr w:type="spellEnd"/>
      <w:r w:rsidRPr="5F21D03B">
        <w:rPr>
          <w:rFonts w:ascii="Roboto" w:eastAsia="Roboto" w:hAnsi="Roboto" w:cs="Roboto"/>
          <w:b/>
          <w:bCs/>
          <w:color w:val="000000" w:themeColor="text1"/>
          <w:sz w:val="22"/>
          <w:szCs w:val="22"/>
          <w:lang w:val="es-ES"/>
        </w:rPr>
        <w:t>,</w:t>
      </w:r>
      <w:r w:rsidRPr="5F21D03B">
        <w:rPr>
          <w:rFonts w:ascii="Roboto" w:eastAsia="Roboto" w:hAnsi="Roboto" w:cs="Roboto"/>
          <w:color w:val="000000" w:themeColor="text1"/>
          <w:sz w:val="22"/>
          <w:szCs w:val="22"/>
          <w:lang w:val="es-ES"/>
        </w:rPr>
        <w:t xml:space="preserve"> la </w:t>
      </w:r>
      <w:r w:rsidRPr="5F21D03B">
        <w:rPr>
          <w:rFonts w:ascii="Roboto" w:eastAsia="Roboto" w:hAnsi="Roboto" w:cs="Roboto"/>
          <w:b/>
          <w:bCs/>
          <w:color w:val="000000" w:themeColor="text1"/>
          <w:sz w:val="22"/>
          <w:szCs w:val="22"/>
          <w:lang w:val="es-ES"/>
        </w:rPr>
        <w:t>nueva organización</w:t>
      </w:r>
      <w:r w:rsidRPr="5F21D03B">
        <w:rPr>
          <w:rFonts w:ascii="Roboto" w:eastAsia="Roboto" w:hAnsi="Roboto" w:cs="Roboto"/>
          <w:color w:val="000000" w:themeColor="text1"/>
          <w:sz w:val="22"/>
          <w:szCs w:val="22"/>
          <w:lang w:val="es-ES"/>
        </w:rPr>
        <w:t xml:space="preserve"> </w:t>
      </w:r>
      <w:r w:rsidRPr="5F21D03B">
        <w:rPr>
          <w:rFonts w:ascii="Roboto" w:eastAsia="Roboto" w:hAnsi="Roboto" w:cs="Roboto"/>
          <w:b/>
          <w:bCs/>
          <w:color w:val="000000" w:themeColor="text1"/>
          <w:sz w:val="22"/>
          <w:szCs w:val="22"/>
          <w:lang w:val="es-ES"/>
        </w:rPr>
        <w:t>que va a asumir las actividades que hasta ahora llevaban a cabo ILAC e IAF cada una en su campo de actuación</w:t>
      </w:r>
      <w:r w:rsidRPr="5F21D03B">
        <w:rPr>
          <w:rFonts w:ascii="Roboto" w:eastAsia="Roboto" w:hAnsi="Roboto" w:cs="Roboto"/>
          <w:color w:val="000000" w:themeColor="text1"/>
          <w:sz w:val="22"/>
          <w:szCs w:val="22"/>
          <w:lang w:val="es-ES"/>
        </w:rPr>
        <w:t>.</w:t>
      </w:r>
    </w:p>
    <w:p w14:paraId="0D856C97" w14:textId="77777777" w:rsidR="0049772C" w:rsidRDefault="0049772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p>
    <w:p w14:paraId="0D856C98" w14:textId="77777777" w:rsidR="0049772C" w:rsidRDefault="004D7771" w:rsidP="27AF8C6A">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160" w:line="259" w:lineRule="auto"/>
        <w:jc w:val="both"/>
        <w:rPr>
          <w:rFonts w:ascii="Roboto" w:eastAsia="Roboto" w:hAnsi="Roboto" w:cs="Roboto"/>
          <w:sz w:val="22"/>
          <w:szCs w:val="22"/>
          <w:lang w:val="es-ES"/>
        </w:rPr>
      </w:pPr>
      <w:r w:rsidRPr="27AF8C6A">
        <w:rPr>
          <w:rFonts w:ascii="Roboto" w:eastAsia="Roboto" w:hAnsi="Roboto" w:cs="Roboto"/>
          <w:sz w:val="22"/>
          <w:szCs w:val="22"/>
          <w:lang w:val="es-ES"/>
        </w:rPr>
        <w:t xml:space="preserve">ILAC e IAF son las organizaciones que, desde 1977 en el caso de ILAC y desde 1993 en el de IAF, </w:t>
      </w:r>
      <w:r w:rsidRPr="27AF8C6A">
        <w:rPr>
          <w:rFonts w:ascii="Roboto" w:eastAsia="Roboto" w:hAnsi="Roboto" w:cs="Roboto"/>
          <w:b/>
          <w:sz w:val="22"/>
          <w:szCs w:val="22"/>
          <w:lang w:val="es-ES"/>
        </w:rPr>
        <w:t>han congregado a los organismos de acreditación a nivel global.</w:t>
      </w:r>
      <w:r w:rsidRPr="27AF8C6A">
        <w:rPr>
          <w:rFonts w:ascii="Roboto" w:eastAsia="Roboto" w:hAnsi="Roboto" w:cs="Roboto"/>
          <w:sz w:val="22"/>
          <w:szCs w:val="22"/>
          <w:lang w:val="es-ES"/>
        </w:rPr>
        <w:t xml:space="preserve"> En su seno, se han establecido criterios de acreditación y buenas prácticas de funcionamiento de laboratorios, entidades de inspección, proveedores de programas de </w:t>
      </w:r>
      <w:proofErr w:type="spellStart"/>
      <w:r w:rsidRPr="27AF8C6A">
        <w:rPr>
          <w:rFonts w:ascii="Roboto" w:eastAsia="Roboto" w:hAnsi="Roboto" w:cs="Roboto"/>
          <w:sz w:val="22"/>
          <w:szCs w:val="22"/>
          <w:lang w:val="es-ES"/>
        </w:rPr>
        <w:t>intercomparación</w:t>
      </w:r>
      <w:proofErr w:type="spellEnd"/>
      <w:r w:rsidRPr="27AF8C6A">
        <w:rPr>
          <w:rFonts w:ascii="Roboto" w:eastAsia="Roboto" w:hAnsi="Roboto" w:cs="Roboto"/>
          <w:sz w:val="22"/>
          <w:szCs w:val="22"/>
          <w:lang w:val="es-ES"/>
        </w:rPr>
        <w:t xml:space="preserve"> y de productores de materiales de referencia, biobancos en el caso de ILAC y entidades de certificación y verificación/validación en el caso de IAF y han establecido y gestionado los acuerdos de reconocimiento mutuo que operan en la actualidad en cada una de esas actividades  que han facilitado la aceptación de los certificados de conformidad entre distintas economías y de los que se han beneficiado más de 120 países en el mundo</w:t>
      </w:r>
    </w:p>
    <w:p w14:paraId="0D856C9D" w14:textId="16C111AB" w:rsidR="0049772C" w:rsidRDefault="004D7771" w:rsidP="004D7771">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160" w:line="259" w:lineRule="auto"/>
        <w:jc w:val="both"/>
        <w:rPr>
          <w:rFonts w:ascii="Roboto" w:eastAsia="Roboto" w:hAnsi="Roboto" w:cs="Roboto"/>
          <w:sz w:val="22"/>
          <w:szCs w:val="22"/>
        </w:rPr>
      </w:pPr>
      <w:r w:rsidRPr="27AF8C6A">
        <w:rPr>
          <w:rFonts w:ascii="Roboto" w:eastAsia="Roboto" w:hAnsi="Roboto" w:cs="Roboto"/>
          <w:sz w:val="22"/>
          <w:szCs w:val="22"/>
          <w:lang w:val="es-ES"/>
        </w:rPr>
        <w:t xml:space="preserve">La existencia de dos organizaciones diferenciadas respondía a una evolución histórica sin una justificación técnica. En la práctica totalidad de los países, los organismos de acreditación operan en todas las actividades en todos los ámbitos de actividad y, en las distintas regiones del mundo, las asociaciones que los agrupan son únicas, como sucede con </w:t>
      </w:r>
      <w:proofErr w:type="spellStart"/>
      <w:r w:rsidRPr="27AF8C6A">
        <w:rPr>
          <w:rFonts w:ascii="Roboto" w:eastAsia="Roboto" w:hAnsi="Roboto" w:cs="Roboto"/>
          <w:sz w:val="22"/>
          <w:szCs w:val="22"/>
          <w:lang w:val="es-ES"/>
        </w:rPr>
        <w:t>European</w:t>
      </w:r>
      <w:proofErr w:type="spellEnd"/>
      <w:r w:rsidRPr="27AF8C6A">
        <w:rPr>
          <w:rFonts w:ascii="Roboto" w:eastAsia="Roboto" w:hAnsi="Roboto" w:cs="Roboto"/>
          <w:sz w:val="22"/>
          <w:szCs w:val="22"/>
          <w:lang w:val="es-ES"/>
        </w:rPr>
        <w:t xml:space="preserve"> </w:t>
      </w:r>
      <w:proofErr w:type="spellStart"/>
      <w:r w:rsidRPr="27AF8C6A">
        <w:rPr>
          <w:rFonts w:ascii="Roboto" w:eastAsia="Roboto" w:hAnsi="Roboto" w:cs="Roboto"/>
          <w:sz w:val="22"/>
          <w:szCs w:val="22"/>
          <w:lang w:val="es-ES"/>
        </w:rPr>
        <w:t>Accreditation</w:t>
      </w:r>
      <w:proofErr w:type="spellEnd"/>
      <w:r w:rsidRPr="27AF8C6A">
        <w:rPr>
          <w:rFonts w:ascii="Roboto" w:eastAsia="Roboto" w:hAnsi="Roboto" w:cs="Roboto"/>
          <w:sz w:val="22"/>
          <w:szCs w:val="22"/>
          <w:lang w:val="es-ES"/>
        </w:rPr>
        <w:t xml:space="preserve"> (EA) en Europa.</w:t>
      </w:r>
    </w:p>
    <w:p w14:paraId="41BAF7FD" w14:textId="18EDB794" w:rsidR="0049772C" w:rsidRDefault="0E72CE72" w:rsidP="41058017">
      <w:pPr>
        <w:shd w:val="clear" w:color="auto" w:fill="FFFFFF" w:themeFill="background1"/>
        <w:spacing w:after="160" w:line="259" w:lineRule="auto"/>
        <w:jc w:val="both"/>
      </w:pPr>
      <w:r w:rsidRPr="41058017">
        <w:rPr>
          <w:rFonts w:ascii="Roboto" w:eastAsia="Roboto" w:hAnsi="Roboto" w:cs="Roboto"/>
          <w:color w:val="000000" w:themeColor="text1"/>
          <w:sz w:val="22"/>
          <w:szCs w:val="22"/>
          <w:lang w:val="es-ES"/>
        </w:rPr>
        <w:t xml:space="preserve">Por esa razón, en octubre de 2019, IAF e ILAC tomaron la decisión estratégica de fusionarse, tras lo cual, en octubre de 2024, se constituyó legalmente la nueva organización.  Finalmente, </w:t>
      </w:r>
      <w:r w:rsidRPr="41058017">
        <w:rPr>
          <w:rFonts w:ascii="Roboto" w:eastAsia="Roboto" w:hAnsi="Roboto" w:cs="Roboto"/>
          <w:b/>
          <w:bCs/>
          <w:color w:val="000000" w:themeColor="text1"/>
          <w:sz w:val="22"/>
          <w:szCs w:val="22"/>
          <w:lang w:val="es-ES"/>
        </w:rPr>
        <w:t xml:space="preserve">es en 2025 cuando se ha producido la admisión de los primeros socios de Global Accreditation Cooperation Incorporated -156 entre organismos de acreditación, entre los que se encuentra ENAC, la </w:t>
      </w:r>
      <w:hyperlink r:id="rId11">
        <w:r w:rsidRPr="33906268">
          <w:rPr>
            <w:rStyle w:val="Hyperlink"/>
            <w:rFonts w:ascii="Roboto" w:eastAsia="Roboto" w:hAnsi="Roboto" w:cs="Roboto"/>
            <w:b/>
            <w:color w:val="1155CC"/>
            <w:sz w:val="22"/>
            <w:szCs w:val="22"/>
            <w:u w:val="none"/>
            <w:lang w:val="es-ES"/>
          </w:rPr>
          <w:t>Entidad Nacional de Acreditación</w:t>
        </w:r>
      </w:hyperlink>
      <w:r w:rsidRPr="41058017">
        <w:rPr>
          <w:rFonts w:ascii="Roboto" w:eastAsia="Roboto" w:hAnsi="Roboto" w:cs="Roboto"/>
          <w:color w:val="000000" w:themeColor="text1"/>
          <w:sz w:val="22"/>
          <w:szCs w:val="22"/>
          <w:lang w:val="es-ES"/>
        </w:rPr>
        <w:t xml:space="preserve">, y otras partes interesadas-, así como el </w:t>
      </w:r>
      <w:r w:rsidRPr="41058017">
        <w:rPr>
          <w:rFonts w:ascii="Roboto" w:eastAsia="Roboto" w:hAnsi="Roboto" w:cs="Roboto"/>
          <w:b/>
          <w:bCs/>
          <w:color w:val="000000" w:themeColor="text1"/>
          <w:sz w:val="22"/>
          <w:szCs w:val="22"/>
          <w:lang w:val="es-ES"/>
        </w:rPr>
        <w:t xml:space="preserve">traspaso por parte de ILAC e IAF de las marcas, los procedimientos operativos y la gestión de los acuerdos multilaterales; si bien, </w:t>
      </w:r>
      <w:r w:rsidRPr="41058017">
        <w:rPr>
          <w:rFonts w:ascii="Roboto" w:eastAsia="Roboto" w:hAnsi="Roboto" w:cs="Roboto"/>
          <w:color w:val="000000" w:themeColor="text1"/>
          <w:sz w:val="22"/>
          <w:szCs w:val="22"/>
          <w:lang w:val="es-ES"/>
        </w:rPr>
        <w:t xml:space="preserve">la nueva organización funcionará plenamente a partir del 1 de enero de 2026. </w:t>
      </w:r>
    </w:p>
    <w:p w14:paraId="0D856CA0" w14:textId="484C5862" w:rsidR="0049772C" w:rsidRDefault="004D7771" w:rsidP="27AF8C6A">
      <w:pPr>
        <w:pBdr>
          <w:top w:val="none" w:sz="0" w:space="0" w:color="000000"/>
          <w:left w:val="none" w:sz="0" w:space="0" w:color="000000"/>
          <w:bottom w:val="none" w:sz="0" w:space="0" w:color="000000"/>
          <w:right w:val="none" w:sz="0" w:space="0" w:color="000000"/>
          <w:between w:val="none" w:sz="0" w:space="0" w:color="000000"/>
        </w:pBdr>
        <w:shd w:val="clear" w:color="auto" w:fill="FFFFFF" w:themeFill="background1"/>
        <w:spacing w:after="160" w:line="259" w:lineRule="auto"/>
        <w:jc w:val="both"/>
        <w:rPr>
          <w:rFonts w:ascii="Roboto" w:eastAsia="Roboto" w:hAnsi="Roboto" w:cs="Roboto"/>
          <w:sz w:val="22"/>
          <w:szCs w:val="22"/>
          <w:lang w:val="es-ES"/>
        </w:rPr>
      </w:pPr>
      <w:r w:rsidRPr="27AF8C6A">
        <w:rPr>
          <w:rFonts w:ascii="Roboto" w:eastAsia="Roboto" w:hAnsi="Roboto" w:cs="Roboto"/>
          <w:sz w:val="22"/>
          <w:szCs w:val="22"/>
          <w:lang w:val="es-ES"/>
        </w:rPr>
        <w:t xml:space="preserve">En el mismo acto, se procedió a la elección del presidente y vicepresidente que recayeron, respectivamente, en </w:t>
      </w:r>
      <w:proofErr w:type="spellStart"/>
      <w:r w:rsidRPr="27AF8C6A">
        <w:rPr>
          <w:rFonts w:ascii="Roboto" w:eastAsia="Roboto" w:hAnsi="Roboto" w:cs="Roboto"/>
          <w:sz w:val="22"/>
          <w:szCs w:val="22"/>
          <w:lang w:val="es-ES"/>
        </w:rPr>
        <w:t>Brahim</w:t>
      </w:r>
      <w:proofErr w:type="spellEnd"/>
      <w:r w:rsidRPr="27AF8C6A">
        <w:rPr>
          <w:rFonts w:ascii="Roboto" w:eastAsia="Roboto" w:hAnsi="Roboto" w:cs="Roboto"/>
          <w:sz w:val="22"/>
          <w:szCs w:val="22"/>
          <w:lang w:val="es-ES"/>
        </w:rPr>
        <w:t xml:space="preserve"> </w:t>
      </w:r>
      <w:proofErr w:type="spellStart"/>
      <w:r w:rsidRPr="27AF8C6A">
        <w:rPr>
          <w:rFonts w:ascii="Roboto" w:eastAsia="Roboto" w:hAnsi="Roboto" w:cs="Roboto"/>
          <w:sz w:val="22"/>
          <w:szCs w:val="22"/>
          <w:lang w:val="es-ES"/>
        </w:rPr>
        <w:t>Houla</w:t>
      </w:r>
      <w:proofErr w:type="spellEnd"/>
      <w:r w:rsidRPr="27AF8C6A">
        <w:rPr>
          <w:rFonts w:ascii="Roboto" w:eastAsia="Roboto" w:hAnsi="Roboto" w:cs="Roboto"/>
          <w:sz w:val="22"/>
          <w:szCs w:val="22"/>
          <w:lang w:val="es-ES"/>
        </w:rPr>
        <w:t xml:space="preserve"> (GAC, organismo de acreditación de los países del Golfo) y </w:t>
      </w:r>
      <w:proofErr w:type="spellStart"/>
      <w:r w:rsidRPr="27AF8C6A">
        <w:rPr>
          <w:rFonts w:ascii="Roboto" w:eastAsia="Roboto" w:hAnsi="Roboto" w:cs="Roboto"/>
          <w:sz w:val="22"/>
          <w:szCs w:val="22"/>
          <w:lang w:val="es-ES"/>
        </w:rPr>
        <w:t>Emanuele</w:t>
      </w:r>
      <w:proofErr w:type="spellEnd"/>
      <w:r w:rsidRPr="27AF8C6A">
        <w:rPr>
          <w:rFonts w:ascii="Roboto" w:eastAsia="Roboto" w:hAnsi="Roboto" w:cs="Roboto"/>
          <w:sz w:val="22"/>
          <w:szCs w:val="22"/>
          <w:lang w:val="es-ES"/>
        </w:rPr>
        <w:t xml:space="preserve"> Riva (ACCREDIA, Italia).</w:t>
      </w:r>
    </w:p>
    <w:p w14:paraId="0D856CA1" w14:textId="77777777" w:rsidR="0049772C" w:rsidRDefault="004D777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59" w:lineRule="auto"/>
        <w:jc w:val="both"/>
        <w:rPr>
          <w:rFonts w:ascii="Roboto" w:eastAsia="Roboto" w:hAnsi="Roboto" w:cs="Roboto"/>
          <w:b/>
          <w:bCs/>
          <w:sz w:val="22"/>
          <w:szCs w:val="22"/>
        </w:rPr>
      </w:pPr>
      <w:r>
        <w:rPr>
          <w:rFonts w:ascii="Roboto" w:eastAsia="Roboto" w:hAnsi="Roboto" w:cs="Roboto"/>
          <w:sz w:val="22"/>
          <w:szCs w:val="22"/>
        </w:rPr>
        <w:t xml:space="preserve">La creación de la nueva organización </w:t>
      </w:r>
      <w:r>
        <w:rPr>
          <w:rFonts w:ascii="Roboto" w:eastAsia="Roboto" w:hAnsi="Roboto" w:cs="Roboto"/>
          <w:b/>
          <w:bCs/>
          <w:sz w:val="22"/>
          <w:szCs w:val="22"/>
        </w:rPr>
        <w:t>no tiene ningún impacto en los organismos de evaluación de la conformidad acreditados</w:t>
      </w:r>
      <w:r>
        <w:rPr>
          <w:rFonts w:ascii="Roboto" w:eastAsia="Roboto" w:hAnsi="Roboto" w:cs="Roboto"/>
          <w:sz w:val="22"/>
          <w:szCs w:val="22"/>
        </w:rPr>
        <w:t xml:space="preserve"> que podrán seguir usando las marcas de ILAC e IAF hasta el momento en que se diseñe y </w:t>
      </w:r>
      <w:r>
        <w:rPr>
          <w:rFonts w:ascii="Roboto" w:eastAsia="Roboto" w:hAnsi="Roboto" w:cs="Roboto"/>
          <w:b/>
          <w:bCs/>
          <w:sz w:val="22"/>
          <w:szCs w:val="22"/>
        </w:rPr>
        <w:t xml:space="preserve">registre una nueva marca, momento en el cual ENAC lo comunicará oportunamente. </w:t>
      </w:r>
    </w:p>
    <w:p w14:paraId="0D856CA2" w14:textId="77777777" w:rsidR="0049772C" w:rsidRDefault="0049772C">
      <w:pPr>
        <w:jc w:val="both"/>
        <w:rPr>
          <w:rFonts w:ascii="Roboto" w:eastAsia="Roboto" w:hAnsi="Roboto" w:cs="Roboto"/>
          <w:color w:val="FF0000"/>
          <w:sz w:val="22"/>
          <w:szCs w:val="22"/>
          <w:highlight w:val="white"/>
        </w:rPr>
      </w:pPr>
    </w:p>
    <w:p w14:paraId="0D856CA3" w14:textId="77777777" w:rsidR="0049772C" w:rsidRDefault="004D77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E83544"/>
          <w:sz w:val="22"/>
          <w:szCs w:val="22"/>
        </w:rPr>
      </w:pPr>
      <w:r>
        <w:rPr>
          <w:rFonts w:ascii="Roboto" w:eastAsia="Roboto" w:hAnsi="Roboto" w:cs="Roboto"/>
          <w:b/>
          <w:bCs/>
          <w:color w:val="E83544"/>
          <w:sz w:val="22"/>
          <w:szCs w:val="22"/>
        </w:rPr>
        <w:t>Sobre ENAC</w:t>
      </w:r>
      <w:r>
        <w:rPr>
          <w:rFonts w:ascii="Roboto" w:eastAsia="Roboto" w:hAnsi="Roboto" w:cs="Roboto"/>
          <w:color w:val="E83544"/>
          <w:sz w:val="22"/>
          <w:szCs w:val="22"/>
        </w:rPr>
        <w:t xml:space="preserve"> </w:t>
      </w:r>
    </w:p>
    <w:p w14:paraId="0D856CA4" w14:textId="77777777" w:rsidR="0049772C" w:rsidRDefault="0049772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E83544"/>
          <w:sz w:val="22"/>
          <w:szCs w:val="22"/>
        </w:rPr>
      </w:pPr>
    </w:p>
    <w:p w14:paraId="0D856CA5" w14:textId="77777777" w:rsidR="0049772C" w:rsidRDefault="004D77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w14:paraId="0D856CA6" w14:textId="77777777" w:rsidR="0049772C" w:rsidRDefault="004D77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color w:val="1F497D"/>
          <w:sz w:val="22"/>
          <w:szCs w:val="22"/>
        </w:rPr>
      </w:pPr>
      <w:r>
        <w:rPr>
          <w:rFonts w:ascii="Roboto" w:eastAsia="Roboto" w:hAnsi="Roboto" w:cs="Roboto"/>
          <w:color w:val="1F497D"/>
          <w:sz w:val="22"/>
          <w:szCs w:val="22"/>
        </w:rPr>
        <w:t> </w:t>
      </w:r>
    </w:p>
    <w:p w14:paraId="0D856CA7" w14:textId="77777777" w:rsidR="0049772C" w:rsidRDefault="004D77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0D856CA8" w14:textId="77777777" w:rsidR="0049772C" w:rsidRDefault="004D77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  </w:t>
      </w:r>
    </w:p>
    <w:p w14:paraId="0D856CA9" w14:textId="77777777" w:rsidR="0049772C" w:rsidRDefault="004D77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0D856CAA" w14:textId="77777777" w:rsidR="0049772C" w:rsidRDefault="004D77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 </w:t>
      </w:r>
    </w:p>
    <w:p w14:paraId="0D856CAB" w14:textId="77777777" w:rsidR="0049772C" w:rsidRDefault="004D7771">
      <w:pPr>
        <w:pBdr>
          <w:bottom w:val="single" w:sz="12" w:space="1" w:color="000000"/>
        </w:pBdr>
        <w:jc w:val="both"/>
        <w:rPr>
          <w:rFonts w:ascii="Roboto" w:eastAsia="Roboto" w:hAnsi="Roboto" w:cs="Roboto"/>
          <w:color w:val="E83544"/>
          <w:sz w:val="22"/>
          <w:szCs w:val="22"/>
        </w:rPr>
      </w:pPr>
      <w:hyperlink r:id="rId12">
        <w:r>
          <w:rPr>
            <w:rFonts w:ascii="Roboto" w:eastAsia="Roboto" w:hAnsi="Roboto" w:cs="Roboto"/>
            <w:color w:val="E83544"/>
            <w:sz w:val="22"/>
            <w:szCs w:val="22"/>
            <w:u w:val="single"/>
          </w:rPr>
          <w:t>www.enac.es</w:t>
        </w:r>
      </w:hyperlink>
      <w:r>
        <w:rPr>
          <w:rFonts w:ascii="Roboto" w:eastAsia="Roboto" w:hAnsi="Roboto" w:cs="Roboto"/>
          <w:color w:val="E83544"/>
          <w:sz w:val="22"/>
          <w:szCs w:val="22"/>
        </w:rPr>
        <w:t xml:space="preserve"> </w:t>
      </w:r>
    </w:p>
    <w:p w14:paraId="0D856CAC" w14:textId="77777777" w:rsidR="0049772C" w:rsidRDefault="004D7771">
      <w:pPr>
        <w:pBdr>
          <w:bottom w:val="single" w:sz="12" w:space="1" w:color="000000"/>
        </w:pBdr>
        <w:jc w:val="both"/>
        <w:rPr>
          <w:rFonts w:ascii="Roboto" w:eastAsia="Roboto" w:hAnsi="Roboto" w:cs="Roboto"/>
          <w:color w:val="0000FF"/>
          <w:sz w:val="22"/>
          <w:szCs w:val="22"/>
        </w:rPr>
      </w:pPr>
      <w:r>
        <w:rPr>
          <w:rFonts w:ascii="Roboto" w:eastAsia="Roboto" w:hAnsi="Roboto" w:cs="Roboto"/>
          <w:color w:val="0000FF"/>
          <w:sz w:val="22"/>
          <w:szCs w:val="22"/>
        </w:rPr>
        <w:t xml:space="preserve"> </w:t>
      </w:r>
    </w:p>
    <w:p w14:paraId="0D856CAD" w14:textId="77777777" w:rsidR="0049772C" w:rsidRDefault="004D7771">
      <w:pPr>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0D856CB4" wp14:editId="0D856CB5">
            <wp:extent cx="319366" cy="319366"/>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19366" cy="319366"/>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0D856CB6" wp14:editId="0D856CB7">
            <wp:extent cx="316348" cy="316348"/>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6348" cy="316348"/>
                    </a:xfrm>
                    <a:prstGeom prst="rect">
                      <a:avLst/>
                    </a:prstGeom>
                    <a:ln/>
                  </pic:spPr>
                </pic:pic>
              </a:graphicData>
            </a:graphic>
          </wp:inline>
        </w:drawing>
      </w:r>
    </w:p>
    <w:p w14:paraId="0D856CAE" w14:textId="77777777" w:rsidR="0049772C" w:rsidRDefault="0049772C">
      <w:pPr>
        <w:pBdr>
          <w:bottom w:val="single" w:sz="12" w:space="1" w:color="000000"/>
        </w:pBdr>
        <w:jc w:val="both"/>
        <w:rPr>
          <w:rFonts w:ascii="Roboto" w:eastAsia="Roboto" w:hAnsi="Roboto" w:cs="Roboto"/>
          <w:color w:val="E83544"/>
          <w:sz w:val="22"/>
          <w:szCs w:val="22"/>
        </w:rPr>
      </w:pPr>
    </w:p>
    <w:p w14:paraId="0D856CAF" w14:textId="77777777" w:rsidR="0049772C" w:rsidRDefault="0049772C">
      <w:pPr>
        <w:jc w:val="both"/>
        <w:rPr>
          <w:rFonts w:ascii="Roboto" w:eastAsia="Roboto" w:hAnsi="Roboto" w:cs="Roboto"/>
          <w:color w:val="E83544"/>
          <w:sz w:val="22"/>
          <w:szCs w:val="22"/>
        </w:rPr>
      </w:pPr>
    </w:p>
    <w:p w14:paraId="0D856CB0" w14:textId="77777777" w:rsidR="0049772C" w:rsidRDefault="004D7771">
      <w:pPr>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0D856CB1" w14:textId="77777777" w:rsidR="0049772C" w:rsidRDefault="004D7771">
      <w:pPr>
        <w:jc w:val="both"/>
        <w:rPr>
          <w:rFonts w:ascii="Roboto" w:eastAsia="Roboto" w:hAnsi="Roboto" w:cs="Roboto"/>
          <w:sz w:val="22"/>
          <w:szCs w:val="22"/>
        </w:rPr>
      </w:pPr>
      <w:r>
        <w:rPr>
          <w:rFonts w:ascii="Roboto" w:eastAsia="Roboto" w:hAnsi="Roboto" w:cs="Roboto"/>
          <w:sz w:val="22"/>
          <w:szCs w:val="22"/>
        </w:rPr>
        <w:t>Eva Martín</w:t>
      </w:r>
    </w:p>
    <w:p w14:paraId="0D856CB2" w14:textId="77777777" w:rsidR="0049772C" w:rsidRDefault="004D7771">
      <w:pPr>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hyperlink r:id="rId15">
        <w:r>
          <w:rPr>
            <w:rFonts w:ascii="Roboto" w:eastAsia="Roboto" w:hAnsi="Roboto" w:cs="Roboto"/>
            <w:color w:val="E83544"/>
            <w:sz w:val="22"/>
            <w:szCs w:val="22"/>
            <w:u w:val="single"/>
          </w:rPr>
          <w:t>evamc@varenga.es</w:t>
        </w:r>
      </w:hyperlink>
    </w:p>
    <w:p w14:paraId="0D856CB3" w14:textId="77777777" w:rsidR="0049772C" w:rsidRDefault="0049772C">
      <w:pPr>
        <w:pBdr>
          <w:top w:val="nil"/>
          <w:left w:val="nil"/>
          <w:bottom w:val="nil"/>
          <w:right w:val="nil"/>
          <w:between w:val="nil"/>
        </w:pBdr>
        <w:rPr>
          <w:rFonts w:ascii="Calibri" w:eastAsia="Calibri" w:hAnsi="Calibri" w:cs="Calibri"/>
          <w:highlight w:val="white"/>
        </w:rPr>
      </w:pPr>
    </w:p>
    <w:sectPr w:rsidR="0049772C">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3A63B" w14:textId="77777777" w:rsidR="001106B9" w:rsidRDefault="001106B9">
      <w:r>
        <w:separator/>
      </w:r>
    </w:p>
  </w:endnote>
  <w:endnote w:type="continuationSeparator" w:id="0">
    <w:p w14:paraId="60F22C0A" w14:textId="77777777" w:rsidR="001106B9" w:rsidRDefault="0011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BBC54CD7-6987-4F2D-BA4D-7F68BB5150A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680038C8-AEA0-4693-BB94-D56E0EEEF179}"/>
  </w:font>
  <w:font w:name="Roboto">
    <w:charset w:val="00"/>
    <w:family w:val="auto"/>
    <w:pitch w:val="variable"/>
    <w:sig w:usb0="E0000AFF" w:usb1="5000217F" w:usb2="00000021" w:usb3="00000000" w:csb0="0000019F" w:csb1="00000000"/>
    <w:embedRegular r:id="rId3" w:fontKey="{0C96D85C-989B-4C66-829F-1FCA1C074BC7}"/>
    <w:embedBold r:id="rId4" w:fontKey="{A4C84FBE-DF01-4CFC-B595-B0575951BFC2}"/>
  </w:font>
  <w:font w:name="Calibri">
    <w:panose1 w:val="020F0502020204030204"/>
    <w:charset w:val="00"/>
    <w:family w:val="swiss"/>
    <w:pitch w:val="variable"/>
    <w:sig w:usb0="E4002EFF" w:usb1="C000247B" w:usb2="00000009" w:usb3="00000000" w:csb0="000001FF" w:csb1="00000000"/>
    <w:embedRegular r:id="rId5" w:fontKey="{BF61DC3C-0DF2-4349-B93A-E5A82D2F4159}"/>
    <w:embedBold r:id="rId6" w:fontKey="{1C366A44-EF73-4174-9F1C-D3B47B9CBC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56CBC" w14:textId="77777777" w:rsidR="0049772C" w:rsidRDefault="0049772C">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56CBD" w14:textId="0FFDDA10" w:rsidR="0049772C" w:rsidRDefault="004D7771">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2830B0">
      <w:rPr>
        <w:noProof/>
        <w:color w:val="000000"/>
      </w:rPr>
      <w:t>1</w:t>
    </w:r>
    <w:r>
      <w:rPr>
        <w:color w:val="000000"/>
      </w:rPr>
      <w:fldChar w:fldCharType="end"/>
    </w:r>
  </w:p>
  <w:p w14:paraId="0D856CBE" w14:textId="77777777" w:rsidR="0049772C" w:rsidRDefault="0049772C">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56CC0" w14:textId="77777777" w:rsidR="0049772C" w:rsidRDefault="0049772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39183" w14:textId="77777777" w:rsidR="001106B9" w:rsidRDefault="001106B9">
      <w:r>
        <w:separator/>
      </w:r>
    </w:p>
  </w:footnote>
  <w:footnote w:type="continuationSeparator" w:id="0">
    <w:p w14:paraId="0D78DCC4" w14:textId="77777777" w:rsidR="001106B9" w:rsidRDefault="001106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56CB8" w14:textId="77777777" w:rsidR="0049772C" w:rsidRDefault="0049772C">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56CB9" w14:textId="77777777" w:rsidR="0049772C" w:rsidRDefault="004D7771">
    <w:pPr>
      <w:ind w:left="-120"/>
      <w:jc w:val="both"/>
      <w:rPr>
        <w:rFonts w:ascii="Calibri" w:eastAsia="Calibri" w:hAnsi="Calibri" w:cs="Calibri"/>
        <w:b/>
        <w:bCs/>
        <w:sz w:val="40"/>
        <w:szCs w:val="40"/>
      </w:rPr>
    </w:pPr>
    <w:r>
      <w:rPr>
        <w:noProof/>
      </w:rPr>
      <w:drawing>
        <wp:anchor distT="114300" distB="114300" distL="114300" distR="114300" simplePos="0" relativeHeight="251658240" behindDoc="0" locked="0" layoutInCell="1" hidden="0" allowOverlap="1" wp14:anchorId="0D856CC1" wp14:editId="0D856CC2">
          <wp:simplePos x="0" y="0"/>
          <wp:positionH relativeFrom="column">
            <wp:posOffset>4114800</wp:posOffset>
          </wp:positionH>
          <wp:positionV relativeFrom="paragraph">
            <wp:posOffset>-304787</wp:posOffset>
          </wp:positionV>
          <wp:extent cx="1547842" cy="997267"/>
          <wp:effectExtent l="0" t="0" r="0" b="0"/>
          <wp:wrapSquare wrapText="bothSides" distT="114300" distB="114300" distL="114300" distR="11430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w14:paraId="0D856CBA" w14:textId="77777777" w:rsidR="0049772C" w:rsidRDefault="004D7771">
    <w:pPr>
      <w:ind w:left="-120"/>
      <w:jc w:val="both"/>
      <w:rPr>
        <w:rFonts w:ascii="Roboto" w:eastAsia="Roboto" w:hAnsi="Roboto" w:cs="Roboto"/>
        <w:sz w:val="22"/>
        <w:szCs w:val="22"/>
      </w:rPr>
    </w:pPr>
    <w:r>
      <w:rPr>
        <w:rFonts w:ascii="Roboto" w:eastAsia="Roboto" w:hAnsi="Roboto" w:cs="Roboto"/>
        <w:b/>
        <w:bCs/>
        <w:sz w:val="40"/>
        <w:szCs w:val="40"/>
      </w:rPr>
      <w:t>NOTA DE PRENSA</w:t>
    </w:r>
    <w:r>
      <w:rPr>
        <w:rFonts w:ascii="Roboto" w:eastAsia="Roboto" w:hAnsi="Roboto" w:cs="Roboto"/>
        <w:sz w:val="22"/>
        <w:szCs w:val="22"/>
      </w:rPr>
      <w:t xml:space="preserve"> </w:t>
    </w:r>
  </w:p>
  <w:p w14:paraId="0D856CBB" w14:textId="77777777" w:rsidR="0049772C" w:rsidRDefault="0049772C">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56CBF" w14:textId="77777777" w:rsidR="0049772C" w:rsidRDefault="0049772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8C2F24"/>
    <w:multiLevelType w:val="multilevel"/>
    <w:tmpl w:val="6E26460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A141B4"/>
    <w:multiLevelType w:val="multilevel"/>
    <w:tmpl w:val="998ABAB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1356283">
    <w:abstractNumId w:val="1"/>
  </w:num>
  <w:num w:numId="2" w16cid:durableId="1401248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72C"/>
    <w:rsid w:val="000B7264"/>
    <w:rsid w:val="001106B9"/>
    <w:rsid w:val="00132D3C"/>
    <w:rsid w:val="001347F6"/>
    <w:rsid w:val="002830B0"/>
    <w:rsid w:val="00317FAC"/>
    <w:rsid w:val="00393EF6"/>
    <w:rsid w:val="003F604A"/>
    <w:rsid w:val="0043497B"/>
    <w:rsid w:val="00435ADE"/>
    <w:rsid w:val="0049772C"/>
    <w:rsid w:val="004D17C0"/>
    <w:rsid w:val="004D7771"/>
    <w:rsid w:val="004E6975"/>
    <w:rsid w:val="00507867"/>
    <w:rsid w:val="005546C1"/>
    <w:rsid w:val="006415DF"/>
    <w:rsid w:val="00664A41"/>
    <w:rsid w:val="00667162"/>
    <w:rsid w:val="006D3977"/>
    <w:rsid w:val="00713DCA"/>
    <w:rsid w:val="0072348D"/>
    <w:rsid w:val="007263E4"/>
    <w:rsid w:val="007B233C"/>
    <w:rsid w:val="008267AE"/>
    <w:rsid w:val="008B4EEF"/>
    <w:rsid w:val="00901F91"/>
    <w:rsid w:val="00A33974"/>
    <w:rsid w:val="00A53008"/>
    <w:rsid w:val="00A95699"/>
    <w:rsid w:val="00AF6A7B"/>
    <w:rsid w:val="00C350CB"/>
    <w:rsid w:val="00D71F1C"/>
    <w:rsid w:val="00DF3675"/>
    <w:rsid w:val="00E23245"/>
    <w:rsid w:val="00E542FC"/>
    <w:rsid w:val="00E94920"/>
    <w:rsid w:val="00EA652D"/>
    <w:rsid w:val="00FB491C"/>
    <w:rsid w:val="00FC34CF"/>
    <w:rsid w:val="046D42C1"/>
    <w:rsid w:val="0E72CE72"/>
    <w:rsid w:val="27AF8C6A"/>
    <w:rsid w:val="33906268"/>
    <w:rsid w:val="374CDC89"/>
    <w:rsid w:val="41058017"/>
    <w:rsid w:val="5F21D03B"/>
    <w:rsid w:val="688FA9CD"/>
    <w:rsid w:val="7D02456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56C90"/>
  <w15:docId w15:val="{16CEE94C-8214-4E52-9B26-7B638FDB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styleId="Hyperlink">
    <w:name w:val="Hyperlink"/>
    <w:basedOn w:val="DefaultParagraphFont"/>
    <w:uiPriority w:val="99"/>
    <w:unhideWhenUsed/>
    <w:rsid w:val="00AF6A7B"/>
    <w:rPr>
      <w:color w:val="0000FF"/>
      <w:u w:val="single"/>
    </w:rPr>
  </w:style>
  <w:style w:type="table" w:customStyle="1" w:styleId="TableNormal00">
    <w:name w:val="TableNormal0"/>
    <w:rsid w:val="00664A41"/>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semiHidden/>
    <w:unhideWhenUsed/>
    <w:rsid w:val="00507867"/>
    <w:pPr>
      <w:tabs>
        <w:tab w:val="center" w:pos="4680"/>
        <w:tab w:val="right" w:pos="9360"/>
      </w:tabs>
    </w:pPr>
  </w:style>
  <w:style w:type="character" w:customStyle="1" w:styleId="HeaderChar">
    <w:name w:val="Header Char"/>
    <w:basedOn w:val="DefaultParagraphFont"/>
    <w:link w:val="Header"/>
    <w:uiPriority w:val="99"/>
    <w:semiHidden/>
    <w:rsid w:val="00132D3C"/>
  </w:style>
  <w:style w:type="paragraph" w:styleId="Footer">
    <w:name w:val="footer"/>
    <w:basedOn w:val="Normal"/>
    <w:link w:val="FooterChar"/>
    <w:uiPriority w:val="99"/>
    <w:semiHidden/>
    <w:unhideWhenUsed/>
    <w:rsid w:val="00507867"/>
    <w:pPr>
      <w:tabs>
        <w:tab w:val="center" w:pos="4680"/>
        <w:tab w:val="right" w:pos="9360"/>
      </w:tabs>
    </w:pPr>
  </w:style>
  <w:style w:type="character" w:customStyle="1" w:styleId="FooterChar">
    <w:name w:val="Footer Char"/>
    <w:basedOn w:val="DefaultParagraphFont"/>
    <w:link w:val="Footer"/>
    <w:uiPriority w:val="99"/>
    <w:semiHidden/>
    <w:rsid w:val="00132D3C"/>
  </w:style>
  <w:style w:type="table" w:customStyle="1" w:styleId="TableNormal10">
    <w:name w:val="Table Normal1"/>
    <w:rsid w:val="00FC34CF"/>
    <w:tblPr>
      <w:tblCellMar>
        <w:top w:w="0" w:type="dxa"/>
        <w:left w:w="0" w:type="dxa"/>
        <w:bottom w:w="0" w:type="dxa"/>
        <w:right w:w="0" w:type="dxa"/>
      </w:tblCellMar>
    </w:tblPr>
  </w:style>
  <w:style w:type="table" w:customStyle="1" w:styleId="TableNormal20">
    <w:name w:val="Table Normal2"/>
    <w:rsid w:val="00FC34CF"/>
    <w:tblPr>
      <w:tblCellMar>
        <w:top w:w="0" w:type="dxa"/>
        <w:left w:w="0" w:type="dxa"/>
        <w:bottom w:w="0" w:type="dxa"/>
        <w:right w:w="0" w:type="dxa"/>
      </w:tblCellMar>
    </w:tblPr>
  </w:style>
  <w:style w:type="table" w:customStyle="1" w:styleId="TableNormal3">
    <w:name w:val="Table Normal3"/>
    <w:rsid w:val="00FC34CF"/>
    <w:tblPr>
      <w:tblCellMar>
        <w:top w:w="0" w:type="dxa"/>
        <w:left w:w="0" w:type="dxa"/>
        <w:bottom w:w="0" w:type="dxa"/>
        <w:right w:w="0" w:type="dxa"/>
      </w:tblCellMar>
    </w:tblPr>
  </w:style>
  <w:style w:type="table" w:customStyle="1" w:styleId="TableNormal4">
    <w:name w:val="Table Normal4"/>
    <w:rsid w:val="00FC34CF"/>
    <w:tblPr>
      <w:tblCellMar>
        <w:top w:w="0" w:type="dxa"/>
        <w:left w:w="0" w:type="dxa"/>
        <w:bottom w:w="0" w:type="dxa"/>
        <w:right w:w="0" w:type="dxa"/>
      </w:tblCellMar>
    </w:tblPr>
  </w:style>
  <w:style w:type="table" w:customStyle="1" w:styleId="TableNormal5">
    <w:name w:val="Table Normal5"/>
    <w:rsid w:val="00FC34CF"/>
    <w:tblPr>
      <w:tblCellMar>
        <w:top w:w="0" w:type="dxa"/>
        <w:left w:w="0" w:type="dxa"/>
        <w:bottom w:w="0" w:type="dxa"/>
        <w:right w:w="0" w:type="dxa"/>
      </w:tblCellMar>
    </w:tblPr>
  </w:style>
  <w:style w:type="table" w:customStyle="1" w:styleId="TableNormal11">
    <w:name w:val="TableNormal1"/>
    <w:rsid w:val="00664A41"/>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enac.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ac.es/" TargetMode="External"/><Relationship Id="rId5" Type="http://schemas.openxmlformats.org/officeDocument/2006/relationships/numbering" Target="numbering.xml"/><Relationship Id="rId15" Type="http://schemas.openxmlformats.org/officeDocument/2006/relationships/hyperlink" Target="mailto:evamc@varenga.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dJdMmylmqbs/X4JL+FIljm2uWw==">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a21f680c2c9701c1a468bbff5b4bb5c4">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28d07a47aab3d342154f780ff370c319"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3FCD7F-AB6A-4011-8C73-360518C48AFC}">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2.xml><?xml version="1.0" encoding="utf-8"?>
<ds:datastoreItem xmlns:ds="http://schemas.openxmlformats.org/officeDocument/2006/customXml" ds:itemID="{A7D0F302-86EF-4691-A31C-A045C2C2C76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07EA18B-9D17-4F51-B5A6-F5A34EB3D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783</Words>
  <Characters>4464</Characters>
  <Application>Microsoft Office Word</Application>
  <DocSecurity>4</DocSecurity>
  <Lines>37</Lines>
  <Paragraphs>10</Paragraphs>
  <ScaleCrop>false</ScaleCrop>
  <Company/>
  <LinksUpToDate>false</LinksUpToDate>
  <CharactersWithSpaces>5237</CharactersWithSpaces>
  <SharedDoc>false</SharedDoc>
  <HLinks>
    <vt:vector size="18" baseType="variant">
      <vt:variant>
        <vt:i4>7012444</vt:i4>
      </vt:variant>
      <vt:variant>
        <vt:i4>6</vt:i4>
      </vt:variant>
      <vt:variant>
        <vt:i4>0</vt:i4>
      </vt:variant>
      <vt:variant>
        <vt:i4>5</vt:i4>
      </vt:variant>
      <vt:variant>
        <vt:lpwstr>mailto:evamc@varenga.es</vt:lpwstr>
      </vt:variant>
      <vt:variant>
        <vt:lpwstr/>
      </vt:variant>
      <vt:variant>
        <vt:i4>7471160</vt:i4>
      </vt:variant>
      <vt:variant>
        <vt:i4>3</vt:i4>
      </vt:variant>
      <vt:variant>
        <vt:i4>0</vt:i4>
      </vt:variant>
      <vt:variant>
        <vt:i4>5</vt:i4>
      </vt:variant>
      <vt:variant>
        <vt:lpwstr>http://www.enac.es/</vt:lpwstr>
      </vt:variant>
      <vt:variant>
        <vt:lpwstr/>
      </vt:variant>
      <vt:variant>
        <vt:i4>983065</vt:i4>
      </vt:variant>
      <vt:variant>
        <vt:i4>0</vt:i4>
      </vt:variant>
      <vt:variant>
        <vt:i4>0</vt:i4>
      </vt:variant>
      <vt:variant>
        <vt:i4>5</vt:i4>
      </vt:variant>
      <vt:variant>
        <vt:lpwstr>https://www.enac.es/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Soledad Pacheco Alonso</dc:creator>
  <cp:keywords/>
  <cp:lastModifiedBy>Soledad Pacheco Alonso</cp:lastModifiedBy>
  <cp:revision>13</cp:revision>
  <dcterms:created xsi:type="dcterms:W3CDTF">2025-11-11T20:20:00Z</dcterms:created>
  <dcterms:modified xsi:type="dcterms:W3CDTF">2025-11-11T11:28:00Z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