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48" w:rsidRDefault="004D6C48" w:rsidP="00417AA7">
      <w:pPr>
        <w:tabs>
          <w:tab w:val="right" w:pos="8504"/>
        </w:tabs>
        <w:spacing w:after="100" w:afterAutospacing="1" w:line="312" w:lineRule="auto"/>
        <w:jc w:val="both"/>
        <w:rPr>
          <w:rFonts w:ascii="Verdana" w:eastAsia="Times New Roman" w:hAnsi="Verdana" w:cs="Times New Roman"/>
          <w:b/>
          <w:color w:val="808080"/>
          <w:lang w:eastAsia="x-none"/>
        </w:rPr>
      </w:pPr>
      <w:bookmarkStart w:id="0" w:name="OLE_LINK3"/>
      <w:bookmarkStart w:id="1" w:name="OLE_LINK4"/>
      <w:bookmarkStart w:id="2" w:name="_GoBack"/>
      <w:bookmarkEnd w:id="2"/>
    </w:p>
    <w:p w:rsidR="00284262" w:rsidRPr="00284262" w:rsidRDefault="00284262" w:rsidP="00417AA7">
      <w:pPr>
        <w:tabs>
          <w:tab w:val="right" w:pos="8504"/>
        </w:tabs>
        <w:spacing w:after="100" w:afterAutospacing="1" w:line="312" w:lineRule="auto"/>
        <w:jc w:val="both"/>
        <w:rPr>
          <w:rFonts w:ascii="Verdana" w:eastAsia="Times New Roman" w:hAnsi="Verdana" w:cs="Times New Roman"/>
          <w:b/>
          <w:color w:val="808080"/>
          <w:lang w:eastAsia="x-none"/>
        </w:rPr>
      </w:pPr>
      <w:r w:rsidRPr="00284262">
        <w:rPr>
          <w:rFonts w:ascii="Verdana" w:eastAsia="Times New Roman" w:hAnsi="Verdana" w:cs="Times New Roman"/>
          <w:b/>
          <w:color w:val="808080"/>
          <w:lang w:val="x-none" w:eastAsia="x-none"/>
        </w:rPr>
        <w:t>NOTA DE PRENSA</w:t>
      </w:r>
      <w:bookmarkEnd w:id="0"/>
      <w:bookmarkEnd w:id="1"/>
    </w:p>
    <w:p w:rsidR="00E144DB" w:rsidRPr="00E144DB" w:rsidRDefault="00E144DB" w:rsidP="00417AA7">
      <w:pPr>
        <w:spacing w:after="100" w:afterAutospacing="1" w:line="312" w:lineRule="auto"/>
        <w:contextualSpacing/>
        <w:jc w:val="center"/>
        <w:rPr>
          <w:rFonts w:ascii="Verdana" w:eastAsiaTheme="minorEastAsia" w:hAnsi="Verdana" w:cs="Arial"/>
          <w:b/>
          <w:bCs/>
          <w:spacing w:val="-4"/>
          <w:sz w:val="42"/>
          <w:szCs w:val="42"/>
          <w:lang w:eastAsia="es-ES"/>
        </w:rPr>
      </w:pPr>
      <w:r w:rsidRPr="00E144DB">
        <w:rPr>
          <w:rFonts w:ascii="Verdana" w:eastAsiaTheme="minorEastAsia" w:hAnsi="Verdana" w:cs="Arial"/>
          <w:b/>
          <w:bCs/>
          <w:spacing w:val="-4"/>
          <w:sz w:val="42"/>
          <w:szCs w:val="42"/>
          <w:lang w:eastAsia="es-ES"/>
        </w:rPr>
        <w:t>ENAC y UNE publican la “Guía para el uso de las normas y la acreditación en la contratación pública”</w:t>
      </w:r>
    </w:p>
    <w:p w:rsidR="00284262" w:rsidRPr="00284262" w:rsidRDefault="00284262" w:rsidP="00417AA7">
      <w:pPr>
        <w:spacing w:after="100" w:afterAutospacing="1" w:line="312" w:lineRule="auto"/>
        <w:ind w:left="644" w:right="-29"/>
        <w:contextualSpacing/>
        <w:jc w:val="center"/>
        <w:rPr>
          <w:rFonts w:ascii="Verdana" w:eastAsiaTheme="minorEastAsia" w:hAnsi="Verdana" w:cs="Arial"/>
          <w:b/>
          <w:bCs/>
          <w:spacing w:val="-4"/>
          <w:sz w:val="18"/>
          <w:szCs w:val="18"/>
          <w:lang w:val="es-ES_tradnl" w:eastAsia="es-ES"/>
        </w:rPr>
      </w:pPr>
    </w:p>
    <w:p w:rsidR="00E144DB" w:rsidRDefault="00E144DB" w:rsidP="00417AA7">
      <w:pPr>
        <w:numPr>
          <w:ilvl w:val="0"/>
          <w:numId w:val="1"/>
        </w:numPr>
        <w:tabs>
          <w:tab w:val="num" w:pos="720"/>
        </w:tabs>
        <w:spacing w:after="100" w:afterAutospacing="1" w:line="312" w:lineRule="auto"/>
        <w:ind w:left="646" w:right="-28"/>
        <w:contextualSpacing/>
        <w:jc w:val="both"/>
        <w:rPr>
          <w:rFonts w:ascii="Verdana" w:eastAsiaTheme="minorEastAsia" w:hAnsi="Verdana" w:cs="Arial"/>
          <w:b/>
          <w:bCs/>
          <w:spacing w:val="-4"/>
          <w:sz w:val="18"/>
          <w:szCs w:val="18"/>
          <w:lang w:eastAsia="es-ES"/>
        </w:rPr>
      </w:pPr>
      <w:r w:rsidRPr="00E144DB">
        <w:rPr>
          <w:rFonts w:ascii="Verdana" w:eastAsiaTheme="minorEastAsia" w:hAnsi="Verdana" w:cs="Arial"/>
          <w:b/>
          <w:bCs/>
          <w:spacing w:val="-4"/>
          <w:sz w:val="18"/>
          <w:szCs w:val="18"/>
          <w:lang w:eastAsia="es-ES"/>
        </w:rPr>
        <w:t>La Guía ha sido presentada por ambas entidades a la Secretaría General de Industria y Pequeña y Mediana Empresa en el Ministerio de Economía, Industria y Competitividad</w:t>
      </w:r>
      <w:r>
        <w:rPr>
          <w:rFonts w:ascii="Verdana" w:eastAsiaTheme="minorEastAsia" w:hAnsi="Verdana" w:cs="Arial"/>
          <w:b/>
          <w:bCs/>
          <w:spacing w:val="-4"/>
          <w:sz w:val="18"/>
          <w:szCs w:val="18"/>
          <w:lang w:eastAsia="es-ES"/>
        </w:rPr>
        <w:t>.</w:t>
      </w:r>
    </w:p>
    <w:p w:rsidR="00E144DB" w:rsidRPr="00E144DB" w:rsidRDefault="00E144DB" w:rsidP="00417AA7">
      <w:pPr>
        <w:spacing w:after="100" w:afterAutospacing="1" w:line="312" w:lineRule="auto"/>
        <w:ind w:left="646" w:right="-28"/>
        <w:contextualSpacing/>
        <w:jc w:val="both"/>
        <w:rPr>
          <w:rFonts w:ascii="Verdana" w:eastAsiaTheme="minorEastAsia" w:hAnsi="Verdana" w:cs="Arial"/>
          <w:b/>
          <w:bCs/>
          <w:spacing w:val="-4"/>
          <w:sz w:val="18"/>
          <w:szCs w:val="18"/>
          <w:lang w:eastAsia="es-ES"/>
        </w:rPr>
      </w:pPr>
    </w:p>
    <w:p w:rsidR="00E144DB" w:rsidRPr="00E144DB" w:rsidRDefault="00E144DB" w:rsidP="00417AA7">
      <w:pPr>
        <w:numPr>
          <w:ilvl w:val="0"/>
          <w:numId w:val="1"/>
        </w:numPr>
        <w:tabs>
          <w:tab w:val="num" w:pos="720"/>
        </w:tabs>
        <w:spacing w:after="100" w:afterAutospacing="1" w:line="312" w:lineRule="auto"/>
        <w:ind w:left="646" w:right="-28"/>
        <w:contextualSpacing/>
        <w:jc w:val="both"/>
        <w:rPr>
          <w:rFonts w:ascii="Verdana" w:eastAsiaTheme="minorEastAsia" w:hAnsi="Verdana" w:cs="Arial"/>
          <w:b/>
          <w:bCs/>
          <w:spacing w:val="-4"/>
          <w:sz w:val="18"/>
          <w:szCs w:val="18"/>
          <w:lang w:eastAsia="es-ES"/>
        </w:rPr>
      </w:pPr>
      <w:r w:rsidRPr="00E144DB">
        <w:rPr>
          <w:rFonts w:ascii="Verdana" w:eastAsiaTheme="minorEastAsia" w:hAnsi="Verdana" w:cs="Arial"/>
          <w:b/>
          <w:bCs/>
          <w:spacing w:val="-4"/>
          <w:sz w:val="18"/>
          <w:szCs w:val="18"/>
          <w:lang w:eastAsia="es-ES"/>
        </w:rPr>
        <w:t>Ofrece un apoyo para que los poderes adjudicadores puedan sacar el máximo aprovechamiento de las normas técnicas y la acreditación en los procesos de compra</w:t>
      </w:r>
      <w:r>
        <w:rPr>
          <w:rFonts w:ascii="Verdana" w:eastAsiaTheme="minorEastAsia" w:hAnsi="Verdana" w:cs="Arial"/>
          <w:b/>
          <w:bCs/>
          <w:spacing w:val="-4"/>
          <w:sz w:val="18"/>
          <w:szCs w:val="18"/>
          <w:lang w:eastAsia="es-ES"/>
        </w:rPr>
        <w:t>.</w:t>
      </w:r>
    </w:p>
    <w:p w:rsidR="00284262" w:rsidRPr="002A629C" w:rsidRDefault="00284262" w:rsidP="00417AA7">
      <w:pPr>
        <w:spacing w:after="100" w:afterAutospacing="1" w:line="312" w:lineRule="auto"/>
        <w:ind w:left="646" w:right="-28"/>
        <w:contextualSpacing/>
        <w:jc w:val="both"/>
        <w:rPr>
          <w:rFonts w:ascii="Verdana" w:eastAsiaTheme="minorEastAsia" w:hAnsi="Verdana" w:cs="Arial"/>
          <w:b/>
          <w:bCs/>
          <w:spacing w:val="-4"/>
          <w:sz w:val="18"/>
          <w:szCs w:val="18"/>
          <w:lang w:eastAsia="es-ES"/>
        </w:rPr>
      </w:pPr>
    </w:p>
    <w:p w:rsidR="00E144DB" w:rsidRPr="00E144DB" w:rsidRDefault="00E144DB" w:rsidP="00417AA7">
      <w:pPr>
        <w:spacing w:after="100" w:afterAutospacing="1" w:line="312" w:lineRule="auto"/>
        <w:jc w:val="both"/>
        <w:rPr>
          <w:rFonts w:ascii="Verdana" w:hAnsi="Verdana"/>
          <w:sz w:val="18"/>
          <w:szCs w:val="18"/>
        </w:rPr>
      </w:pPr>
      <w:r>
        <w:rPr>
          <w:rFonts w:ascii="Verdana" w:eastAsiaTheme="minorEastAsia" w:hAnsi="Verdana" w:cs="Arial"/>
          <w:b/>
          <w:spacing w:val="-4"/>
          <w:sz w:val="18"/>
          <w:szCs w:val="18"/>
          <w:lang w:eastAsia="es-ES"/>
        </w:rPr>
        <w:t>30</w:t>
      </w:r>
      <w:r w:rsidR="00284262" w:rsidRPr="002A629C">
        <w:rPr>
          <w:rFonts w:ascii="Verdana" w:eastAsiaTheme="minorEastAsia" w:hAnsi="Verdana" w:cs="Arial"/>
          <w:b/>
          <w:spacing w:val="-4"/>
          <w:sz w:val="18"/>
          <w:szCs w:val="18"/>
          <w:lang w:eastAsia="es-ES"/>
        </w:rPr>
        <w:t xml:space="preserve"> de mayo de 2018.</w:t>
      </w:r>
      <w:r>
        <w:rPr>
          <w:rFonts w:ascii="Verdana" w:eastAsiaTheme="minorEastAsia" w:hAnsi="Verdana" w:cs="Arial"/>
          <w:spacing w:val="-4"/>
          <w:sz w:val="18"/>
          <w:szCs w:val="18"/>
          <w:lang w:eastAsia="es-ES"/>
        </w:rPr>
        <w:t xml:space="preserve"> </w:t>
      </w:r>
      <w:r w:rsidRPr="00E144DB">
        <w:rPr>
          <w:rFonts w:ascii="Verdana" w:hAnsi="Verdana"/>
          <w:sz w:val="18"/>
          <w:szCs w:val="18"/>
        </w:rPr>
        <w:t>La Ley 9/2017 de Contratos del Sector Público, que entró en vigor el pasado mes de marzo y persigue aportar mayor transparencia y conseguir una mejor relación calidad-precio, mayor racionalidad económica de los fondos públicos, contempla que en los procesos de compra pública se incluyan aspectos cualitativos, medioambientales, sociales e innovadores con el objetivo de que los “criterios de adjudicación permitan obtener obras, suministros y servicios de gran calidad”.</w:t>
      </w:r>
    </w:p>
    <w:p w:rsidR="00E144DB" w:rsidRPr="00E144DB" w:rsidRDefault="00E144DB" w:rsidP="00417AA7">
      <w:pPr>
        <w:spacing w:after="100" w:afterAutospacing="1" w:line="312" w:lineRule="auto"/>
        <w:jc w:val="both"/>
        <w:rPr>
          <w:rFonts w:ascii="Verdana" w:hAnsi="Verdana"/>
          <w:sz w:val="18"/>
          <w:szCs w:val="18"/>
        </w:rPr>
      </w:pPr>
      <w:r w:rsidRPr="00E144DB">
        <w:rPr>
          <w:rFonts w:ascii="Verdana" w:hAnsi="Verdana"/>
          <w:sz w:val="18"/>
          <w:szCs w:val="18"/>
        </w:rPr>
        <w:t xml:space="preserve">Como vía para demostrar el cumplimiento de estos aspectos, incorpora en varios de sus artículos (en concreto, 93, 94, 124, 125, 126, 127 y 128) menciones específicas al uso de normas técnicas y de evaluadores de la conformidad acreditados. </w:t>
      </w:r>
    </w:p>
    <w:p w:rsidR="00E144DB" w:rsidRPr="00E144DB" w:rsidRDefault="00E144DB" w:rsidP="00417AA7">
      <w:pPr>
        <w:spacing w:after="100" w:afterAutospacing="1" w:line="312" w:lineRule="auto"/>
        <w:jc w:val="both"/>
        <w:rPr>
          <w:rFonts w:ascii="Verdana" w:hAnsi="Verdana"/>
          <w:sz w:val="18"/>
          <w:szCs w:val="18"/>
        </w:rPr>
      </w:pPr>
      <w:r w:rsidRPr="00E144DB">
        <w:rPr>
          <w:rFonts w:ascii="Verdana" w:hAnsi="Verdana"/>
          <w:sz w:val="18"/>
          <w:szCs w:val="18"/>
        </w:rPr>
        <w:t xml:space="preserve">Con este motivo y para facilitar el pleno aprovechamiento de las normas técnicas y acreditación en los procesos de compra por parte de los poderes adjudicadores, la </w:t>
      </w:r>
      <w:hyperlink r:id="rId9" w:history="1">
        <w:r w:rsidRPr="00E144DB">
          <w:rPr>
            <w:rStyle w:val="Hipervnculo"/>
            <w:rFonts w:ascii="Verdana" w:hAnsi="Verdana"/>
            <w:sz w:val="18"/>
            <w:szCs w:val="18"/>
          </w:rPr>
          <w:t>Asociación Española de Normalización, UNE</w:t>
        </w:r>
      </w:hyperlink>
      <w:r w:rsidRPr="00E144DB">
        <w:rPr>
          <w:rFonts w:ascii="Verdana" w:hAnsi="Verdana"/>
          <w:sz w:val="18"/>
          <w:szCs w:val="18"/>
        </w:rPr>
        <w:t xml:space="preserve">, y la </w:t>
      </w:r>
      <w:hyperlink r:id="rId10" w:history="1">
        <w:r w:rsidRPr="00AB2ACB">
          <w:rPr>
            <w:rStyle w:val="Hipervnculo"/>
            <w:rFonts w:ascii="Verdana" w:hAnsi="Verdana"/>
            <w:sz w:val="18"/>
            <w:szCs w:val="18"/>
          </w:rPr>
          <w:t>Entidad Nacional de Acreditación, ENAC</w:t>
        </w:r>
      </w:hyperlink>
      <w:r w:rsidRPr="00E144DB">
        <w:rPr>
          <w:rFonts w:ascii="Verdana" w:hAnsi="Verdana"/>
          <w:sz w:val="18"/>
          <w:szCs w:val="18"/>
        </w:rPr>
        <w:t xml:space="preserve"> han elaborado la </w:t>
      </w:r>
      <w:hyperlink r:id="rId11" w:history="1">
        <w:r w:rsidRPr="00655D03">
          <w:rPr>
            <w:rStyle w:val="Hipervnculo"/>
            <w:rFonts w:ascii="Verdana" w:hAnsi="Verdana"/>
            <w:b/>
            <w:sz w:val="18"/>
            <w:szCs w:val="18"/>
          </w:rPr>
          <w:t>“Guía para el uso de las normas y la acreditación en la contratación pública”</w:t>
        </w:r>
        <w:r w:rsidRPr="00655D03">
          <w:rPr>
            <w:rStyle w:val="Hipervnculo"/>
            <w:rFonts w:ascii="Verdana" w:hAnsi="Verdana"/>
            <w:sz w:val="18"/>
            <w:szCs w:val="18"/>
          </w:rPr>
          <w:t>,</w:t>
        </w:r>
      </w:hyperlink>
      <w:r w:rsidRPr="00E144DB">
        <w:rPr>
          <w:rFonts w:ascii="Verdana" w:hAnsi="Verdana"/>
          <w:b/>
          <w:sz w:val="18"/>
          <w:szCs w:val="18"/>
        </w:rPr>
        <w:t xml:space="preserve"> </w:t>
      </w:r>
      <w:r w:rsidRPr="00E144DB">
        <w:rPr>
          <w:rFonts w:ascii="Verdana" w:hAnsi="Verdana"/>
          <w:sz w:val="18"/>
          <w:szCs w:val="18"/>
        </w:rPr>
        <w:t xml:space="preserve">la cual ha sido presentada a la Secretaria General de Industria y Pyme, Begoña </w:t>
      </w:r>
      <w:proofErr w:type="spellStart"/>
      <w:r w:rsidRPr="00E144DB">
        <w:rPr>
          <w:rFonts w:ascii="Verdana" w:hAnsi="Verdana"/>
          <w:sz w:val="18"/>
          <w:szCs w:val="18"/>
        </w:rPr>
        <w:t>Cristeto</w:t>
      </w:r>
      <w:proofErr w:type="spellEnd"/>
      <w:r w:rsidRPr="00E144DB">
        <w:rPr>
          <w:rFonts w:ascii="Verdana" w:hAnsi="Verdana"/>
          <w:sz w:val="18"/>
          <w:szCs w:val="18"/>
        </w:rPr>
        <w:t xml:space="preserve"> Blasco, en el marco de la celebración de la firma de un convenio de colaboración entre UNE y ENAC el pasado lunes día 21 de mayo en el Ministerio de Economía, Industria y Competitividad. </w:t>
      </w:r>
    </w:p>
    <w:p w:rsidR="00E144DB" w:rsidRPr="00E144DB" w:rsidRDefault="00E144DB" w:rsidP="00417AA7">
      <w:pPr>
        <w:spacing w:after="100" w:afterAutospacing="1" w:line="312" w:lineRule="auto"/>
        <w:jc w:val="both"/>
        <w:rPr>
          <w:rFonts w:ascii="Verdana" w:hAnsi="Verdana"/>
          <w:sz w:val="18"/>
          <w:szCs w:val="18"/>
        </w:rPr>
      </w:pPr>
      <w:r w:rsidRPr="00E144DB">
        <w:rPr>
          <w:rFonts w:ascii="Verdana" w:hAnsi="Verdana"/>
          <w:sz w:val="18"/>
          <w:szCs w:val="18"/>
        </w:rPr>
        <w:t xml:space="preserve">Se trata de una publicación de carácter eminentemente práctico, que ofrece pautas y consejos tanto sobre cómo buscar normas aplicables a una actividad, cómo citarlas correctamente y cómo hacer referencia a la acreditación en distintos supuestos así como orienta en los aspectos que los poderes adjudicadores deben tener en cuenta al valorar si dichos requisitos son adecuadamente satisfechos por los licitadores. </w:t>
      </w:r>
    </w:p>
    <w:p w:rsidR="00FB740E" w:rsidRDefault="00E144DB" w:rsidP="00417AA7">
      <w:pPr>
        <w:spacing w:after="100" w:afterAutospacing="1" w:line="312" w:lineRule="auto"/>
        <w:jc w:val="both"/>
        <w:rPr>
          <w:rFonts w:ascii="Verdana" w:hAnsi="Verdana"/>
          <w:sz w:val="18"/>
          <w:szCs w:val="18"/>
        </w:rPr>
      </w:pPr>
      <w:r w:rsidRPr="00E144DB">
        <w:rPr>
          <w:rFonts w:ascii="Verdana" w:hAnsi="Verdana"/>
          <w:sz w:val="18"/>
          <w:szCs w:val="18"/>
        </w:rPr>
        <w:t xml:space="preserve">En este sentido, la publicación incluye un conjunto de anexos con ejemplos concretos de las menciones a normas y la acreditación, así como información sobre el papel de la normalización y la acreditación desde una perspectiva más global. </w:t>
      </w:r>
    </w:p>
    <w:p w:rsidR="00EB61E6" w:rsidRDefault="00EB61E6" w:rsidP="00417AA7">
      <w:pPr>
        <w:spacing w:after="100" w:afterAutospacing="1" w:line="312" w:lineRule="auto"/>
        <w:jc w:val="both"/>
        <w:rPr>
          <w:rFonts w:ascii="Verdana" w:hAnsi="Verdana"/>
          <w:b/>
          <w:sz w:val="18"/>
          <w:szCs w:val="18"/>
        </w:rPr>
      </w:pPr>
    </w:p>
    <w:p w:rsidR="00EB61E6" w:rsidRDefault="00EB61E6" w:rsidP="00417AA7">
      <w:pPr>
        <w:spacing w:after="100" w:afterAutospacing="1" w:line="312" w:lineRule="auto"/>
        <w:jc w:val="both"/>
        <w:rPr>
          <w:rFonts w:ascii="Verdana" w:hAnsi="Verdana"/>
          <w:b/>
          <w:sz w:val="18"/>
          <w:szCs w:val="18"/>
        </w:rPr>
      </w:pPr>
    </w:p>
    <w:p w:rsidR="00EB61E6" w:rsidRDefault="00EB61E6" w:rsidP="00417AA7">
      <w:pPr>
        <w:spacing w:after="100" w:afterAutospacing="1" w:line="312" w:lineRule="auto"/>
        <w:jc w:val="both"/>
        <w:rPr>
          <w:rFonts w:ascii="Verdana" w:hAnsi="Verdana"/>
          <w:b/>
          <w:sz w:val="18"/>
          <w:szCs w:val="18"/>
        </w:rPr>
      </w:pPr>
    </w:p>
    <w:p w:rsidR="00441D07" w:rsidRDefault="00E144DB" w:rsidP="00417AA7">
      <w:pPr>
        <w:spacing w:after="100" w:afterAutospacing="1" w:line="312" w:lineRule="auto"/>
        <w:jc w:val="both"/>
        <w:rPr>
          <w:rFonts w:ascii="Verdana" w:hAnsi="Verdana"/>
          <w:b/>
          <w:sz w:val="18"/>
          <w:szCs w:val="18"/>
        </w:rPr>
      </w:pPr>
      <w:r w:rsidRPr="00E144DB">
        <w:rPr>
          <w:rFonts w:ascii="Verdana" w:hAnsi="Verdana"/>
          <w:b/>
          <w:sz w:val="18"/>
          <w:szCs w:val="18"/>
        </w:rPr>
        <w:t xml:space="preserve">Sobre ENAC y la acreditación </w:t>
      </w:r>
    </w:p>
    <w:p w:rsidR="00E144DB" w:rsidRPr="00E144DB" w:rsidRDefault="00E144DB" w:rsidP="00417AA7">
      <w:pPr>
        <w:spacing w:after="100" w:afterAutospacing="1" w:line="312" w:lineRule="auto"/>
        <w:jc w:val="both"/>
        <w:rPr>
          <w:rFonts w:ascii="Verdana" w:hAnsi="Verdana"/>
          <w:sz w:val="18"/>
          <w:szCs w:val="18"/>
        </w:rPr>
      </w:pPr>
      <w:r w:rsidRPr="00E144DB">
        <w:rPr>
          <w:rFonts w:ascii="Verdana" w:hAnsi="Verdana"/>
          <w:sz w:val="18"/>
          <w:szCs w:val="18"/>
        </w:rPr>
        <w:t xml:space="preserve">La acreditación es la herramienta establecida a escala internacional para generar confianza sobre la correcta ejecución de las  actividades de evaluación de la conformidad y que incluyen actividades de ensayo, calibración, inspección, certificación o verificación, entre otras. La Entidad Nacional de Acreditación (ENAC) es la entidad  designada por el Gobierno para operar en España como el único organismo nacional de acreditación, en aplicación del Reglamento (CE) nº 765/2008 del Parlamento Europeo que regula el funcionamiento de la acreditación en Europa. </w:t>
      </w:r>
    </w:p>
    <w:p w:rsidR="00E144DB" w:rsidRPr="00E144DB" w:rsidRDefault="00E144DB" w:rsidP="00417AA7">
      <w:pPr>
        <w:spacing w:after="100" w:afterAutospacing="1" w:line="312" w:lineRule="auto"/>
        <w:jc w:val="both"/>
        <w:rPr>
          <w:rFonts w:ascii="Verdana" w:hAnsi="Verdana"/>
          <w:sz w:val="18"/>
          <w:szCs w:val="18"/>
        </w:rPr>
      </w:pPr>
      <w:r w:rsidRPr="00E144DB">
        <w:rPr>
          <w:rFonts w:ascii="Verdana" w:hAnsi="Verdana"/>
          <w:b/>
          <w:sz w:val="18"/>
          <w:szCs w:val="18"/>
        </w:rPr>
        <w:t xml:space="preserve">Sobre UNE y </w:t>
      </w:r>
      <w:r w:rsidR="002B1FEC">
        <w:rPr>
          <w:rFonts w:ascii="Verdana" w:hAnsi="Verdana"/>
          <w:b/>
          <w:sz w:val="18"/>
          <w:szCs w:val="18"/>
        </w:rPr>
        <w:t xml:space="preserve">la </w:t>
      </w:r>
      <w:r w:rsidRPr="00E144DB">
        <w:rPr>
          <w:rFonts w:ascii="Verdana" w:hAnsi="Verdana"/>
          <w:b/>
          <w:sz w:val="18"/>
          <w:szCs w:val="18"/>
        </w:rPr>
        <w:t>normalización</w:t>
      </w:r>
    </w:p>
    <w:p w:rsidR="00E144DB" w:rsidRPr="00E144DB" w:rsidRDefault="00E144DB" w:rsidP="00417AA7">
      <w:pPr>
        <w:spacing w:after="100" w:afterAutospacing="1" w:line="312" w:lineRule="auto"/>
        <w:jc w:val="both"/>
        <w:rPr>
          <w:rFonts w:ascii="Verdana" w:hAnsi="Verdana"/>
          <w:sz w:val="18"/>
          <w:szCs w:val="18"/>
        </w:rPr>
      </w:pPr>
      <w:r w:rsidRPr="00E144DB">
        <w:rPr>
          <w:rFonts w:ascii="Verdana" w:hAnsi="Verdana"/>
          <w:sz w:val="18"/>
          <w:szCs w:val="18"/>
        </w:rPr>
        <w:t xml:space="preserve">La referencia a normas en los pliegos de contratación pública garantiza el acceso en condiciones de igualdad, puesto que son documentos disponibles al público. Las normas son documentos de aplicación voluntaria, elaboradas con el consenso y la participación de todas las partes interesadas, que recogen especificaciones técnicas basadas en los resultados de la experiencia y el desarrollo tecnológico. La Asociación Española de Normalización, UNE, es la entidad legalmente responsable del desarrollo de la normalización en España. </w:t>
      </w:r>
    </w:p>
    <w:p w:rsidR="00284262" w:rsidRDefault="00284262" w:rsidP="00FB740E">
      <w:pPr>
        <w:spacing w:before="120" w:after="100" w:afterAutospacing="1" w:line="336" w:lineRule="auto"/>
        <w:jc w:val="both"/>
        <w:rPr>
          <w:rFonts w:ascii="Verdana" w:eastAsiaTheme="minorEastAsia" w:hAnsi="Verdana"/>
          <w:b/>
          <w:sz w:val="15"/>
          <w:szCs w:val="15"/>
          <w:lang w:eastAsia="es-ES"/>
        </w:rPr>
      </w:pPr>
    </w:p>
    <w:p w:rsidR="00441D07" w:rsidRDefault="00441D07" w:rsidP="00284262">
      <w:pPr>
        <w:tabs>
          <w:tab w:val="left" w:pos="9072"/>
        </w:tabs>
        <w:spacing w:after="0" w:line="240" w:lineRule="auto"/>
        <w:ind w:left="-142" w:right="168"/>
        <w:mirrorIndents/>
        <w:rPr>
          <w:rFonts w:ascii="Verdana" w:eastAsiaTheme="minorEastAsia" w:hAnsi="Verdana"/>
          <w:b/>
          <w:sz w:val="15"/>
          <w:szCs w:val="15"/>
          <w:lang w:eastAsia="es-ES"/>
        </w:rPr>
      </w:pPr>
    </w:p>
    <w:p w:rsidR="00FB740E" w:rsidRDefault="00FB740E" w:rsidP="00284262">
      <w:pPr>
        <w:tabs>
          <w:tab w:val="left" w:pos="9072"/>
        </w:tabs>
        <w:spacing w:after="0" w:line="240" w:lineRule="auto"/>
        <w:ind w:left="-142" w:right="168"/>
        <w:mirrorIndents/>
        <w:rPr>
          <w:rFonts w:ascii="Verdana" w:eastAsiaTheme="minorEastAsia" w:hAnsi="Verdana"/>
          <w:b/>
          <w:sz w:val="15"/>
          <w:szCs w:val="15"/>
          <w:lang w:eastAsia="es-ES"/>
        </w:rPr>
      </w:pPr>
    </w:p>
    <w:p w:rsidR="00FB740E" w:rsidRPr="00284262" w:rsidRDefault="00FB740E" w:rsidP="00284262">
      <w:pPr>
        <w:tabs>
          <w:tab w:val="left" w:pos="9072"/>
        </w:tabs>
        <w:spacing w:after="0" w:line="240" w:lineRule="auto"/>
        <w:ind w:left="-142" w:right="168"/>
        <w:mirrorIndents/>
        <w:rPr>
          <w:rFonts w:ascii="Verdana" w:eastAsiaTheme="minorEastAsia" w:hAnsi="Verdana"/>
          <w:b/>
          <w:sz w:val="15"/>
          <w:szCs w:val="15"/>
          <w:lang w:eastAsia="es-ES"/>
        </w:rPr>
      </w:pPr>
    </w:p>
    <w:p w:rsidR="00284262" w:rsidRPr="00284262" w:rsidRDefault="00284262" w:rsidP="00284262">
      <w:pPr>
        <w:tabs>
          <w:tab w:val="left" w:pos="9072"/>
        </w:tabs>
        <w:spacing w:after="0" w:line="240" w:lineRule="auto"/>
        <w:ind w:left="-142" w:right="168"/>
        <w:mirrorIndents/>
        <w:rPr>
          <w:rFonts w:ascii="Verdana" w:eastAsiaTheme="minorEastAsia" w:hAnsi="Verdana"/>
          <w:b/>
          <w:sz w:val="15"/>
          <w:szCs w:val="15"/>
          <w:lang w:eastAsia="es-ES"/>
        </w:rPr>
      </w:pPr>
    </w:p>
    <w:p w:rsidR="00284262" w:rsidRPr="00284262" w:rsidRDefault="00284262" w:rsidP="0037672F">
      <w:pPr>
        <w:tabs>
          <w:tab w:val="left" w:pos="9072"/>
        </w:tabs>
        <w:spacing w:after="0" w:line="312" w:lineRule="auto"/>
        <w:ind w:left="-142" w:right="168"/>
        <w:mirrorIndents/>
        <w:rPr>
          <w:rFonts w:ascii="Verdana" w:eastAsiaTheme="minorEastAsia" w:hAnsi="Verdana"/>
          <w:b/>
          <w:sz w:val="15"/>
          <w:szCs w:val="15"/>
          <w:lang w:eastAsia="es-ES"/>
        </w:rPr>
      </w:pPr>
    </w:p>
    <w:p w:rsidR="00284262" w:rsidRPr="00284262" w:rsidRDefault="00284262" w:rsidP="00FB740E">
      <w:pPr>
        <w:spacing w:after="0" w:line="336" w:lineRule="auto"/>
        <w:ind w:left="-284"/>
        <w:mirrorIndents/>
        <w:rPr>
          <w:rFonts w:ascii="Verdana" w:eastAsiaTheme="minorEastAsia" w:hAnsi="Verdana"/>
          <w:b/>
          <w:sz w:val="15"/>
          <w:szCs w:val="15"/>
          <w:lang w:eastAsia="es-ES"/>
        </w:rPr>
      </w:pPr>
      <w:r w:rsidRPr="00284262">
        <w:rPr>
          <w:rFonts w:ascii="Verdana" w:eastAsiaTheme="minorEastAsia" w:hAnsi="Verdana"/>
          <w:b/>
          <w:sz w:val="15"/>
          <w:szCs w:val="15"/>
          <w:lang w:eastAsia="es-ES"/>
        </w:rPr>
        <w:t>Para más información:</w:t>
      </w:r>
    </w:p>
    <w:p w:rsidR="00284262" w:rsidRPr="00284262" w:rsidRDefault="00284262" w:rsidP="00FB740E">
      <w:pPr>
        <w:spacing w:after="0" w:line="336" w:lineRule="auto"/>
        <w:rPr>
          <w:rFonts w:ascii="Verdana" w:eastAsiaTheme="minorEastAsia" w:hAnsi="Verdana"/>
          <w:sz w:val="6"/>
          <w:szCs w:val="6"/>
          <w:lang w:eastAsia="es-ES"/>
        </w:rPr>
      </w:pPr>
    </w:p>
    <w:p w:rsidR="00E144DB" w:rsidRDefault="00E144DB" w:rsidP="00FB740E">
      <w:pPr>
        <w:spacing w:after="0" w:line="336" w:lineRule="auto"/>
        <w:ind w:left="142"/>
        <w:mirrorIndents/>
        <w:rPr>
          <w:rFonts w:ascii="Verdana" w:eastAsiaTheme="minorEastAsia" w:hAnsi="Verdana"/>
          <w:b/>
          <w:bCs/>
          <w:iCs/>
          <w:sz w:val="15"/>
          <w:szCs w:val="15"/>
          <w:lang w:eastAsia="es-ES"/>
        </w:rPr>
        <w:sectPr w:rsidR="00E144DB" w:rsidSect="00441D07">
          <w:headerReference w:type="default" r:id="rId12"/>
          <w:pgSz w:w="11906" w:h="16838"/>
          <w:pgMar w:top="1928" w:right="1134" w:bottom="1247" w:left="1134" w:header="709" w:footer="709" w:gutter="0"/>
          <w:cols w:space="708"/>
          <w:docGrid w:linePitch="360"/>
        </w:sectPr>
      </w:pPr>
    </w:p>
    <w:p w:rsidR="00FB740E" w:rsidRDefault="00FB740E" w:rsidP="0001108F">
      <w:pPr>
        <w:spacing w:after="0" w:line="336" w:lineRule="auto"/>
        <w:ind w:left="-142"/>
        <w:mirrorIndents/>
        <w:rPr>
          <w:rFonts w:ascii="Verdana" w:eastAsiaTheme="minorEastAsia" w:hAnsi="Verdana"/>
          <w:b/>
          <w:bCs/>
          <w:iCs/>
          <w:sz w:val="15"/>
          <w:szCs w:val="15"/>
          <w:lang w:eastAsia="es-ES"/>
        </w:rPr>
      </w:pPr>
    </w:p>
    <w:p w:rsidR="00FB740E" w:rsidRPr="00284262" w:rsidRDefault="00FB740E" w:rsidP="0001108F">
      <w:pPr>
        <w:spacing w:after="0" w:line="336" w:lineRule="auto"/>
        <w:ind w:left="-142"/>
        <w:mirrorIndents/>
        <w:rPr>
          <w:rFonts w:ascii="Verdana" w:eastAsiaTheme="minorEastAsia" w:hAnsi="Verdana"/>
          <w:b/>
          <w:sz w:val="15"/>
          <w:szCs w:val="15"/>
          <w:lang w:eastAsia="es-ES"/>
        </w:rPr>
      </w:pPr>
      <w:r w:rsidRPr="00284262">
        <w:rPr>
          <w:rFonts w:ascii="Verdana" w:eastAsiaTheme="minorEastAsia" w:hAnsi="Verdana"/>
          <w:b/>
          <w:sz w:val="15"/>
          <w:szCs w:val="15"/>
          <w:lang w:eastAsia="es-ES"/>
        </w:rPr>
        <w:t>Asociación Española de Normalización, UNE</w:t>
      </w:r>
    </w:p>
    <w:p w:rsidR="00FB740E" w:rsidRPr="00284262" w:rsidRDefault="00FB740E" w:rsidP="0001108F">
      <w:pPr>
        <w:spacing w:after="0" w:line="336" w:lineRule="auto"/>
        <w:ind w:left="-142"/>
        <w:mirrorIndents/>
        <w:rPr>
          <w:rFonts w:ascii="Verdana" w:eastAsiaTheme="minorEastAsia" w:hAnsi="Verdana"/>
          <w:bCs/>
          <w:iCs/>
          <w:sz w:val="15"/>
          <w:szCs w:val="15"/>
          <w:lang w:eastAsia="es-ES"/>
        </w:rPr>
      </w:pPr>
      <w:r w:rsidRPr="00284262">
        <w:rPr>
          <w:rFonts w:ascii="Verdana" w:eastAsiaTheme="minorEastAsia" w:hAnsi="Verdana"/>
          <w:bCs/>
          <w:iCs/>
          <w:sz w:val="15"/>
          <w:szCs w:val="15"/>
          <w:lang w:eastAsia="es-ES"/>
        </w:rPr>
        <w:t>Gustavo Granero</w:t>
      </w:r>
    </w:p>
    <w:p w:rsidR="00FB740E" w:rsidRPr="00284262" w:rsidRDefault="00FB740E" w:rsidP="0001108F">
      <w:pPr>
        <w:spacing w:after="0" w:line="336" w:lineRule="auto"/>
        <w:ind w:left="-142"/>
        <w:mirrorIndents/>
        <w:rPr>
          <w:rFonts w:ascii="Verdana" w:eastAsiaTheme="minorEastAsia" w:hAnsi="Verdana"/>
          <w:bCs/>
          <w:iCs/>
          <w:sz w:val="15"/>
          <w:szCs w:val="15"/>
          <w:lang w:eastAsia="es-ES"/>
        </w:rPr>
      </w:pPr>
      <w:r w:rsidRPr="00284262">
        <w:rPr>
          <w:rFonts w:ascii="Verdana" w:eastAsiaTheme="minorEastAsia" w:hAnsi="Verdana"/>
          <w:bCs/>
          <w:iCs/>
          <w:sz w:val="15"/>
          <w:szCs w:val="15"/>
          <w:lang w:eastAsia="es-ES"/>
        </w:rPr>
        <w:t>Dirección Corporativa de Comunicación</w:t>
      </w:r>
    </w:p>
    <w:p w:rsidR="00FB740E" w:rsidRPr="004D6C48" w:rsidRDefault="00FB740E" w:rsidP="0001108F">
      <w:pPr>
        <w:spacing w:after="0" w:line="336" w:lineRule="auto"/>
        <w:ind w:left="-142"/>
        <w:mirrorIndents/>
        <w:rPr>
          <w:rFonts w:ascii="Verdana" w:eastAsiaTheme="minorEastAsia" w:hAnsi="Verdana"/>
          <w:sz w:val="15"/>
          <w:szCs w:val="15"/>
          <w:lang w:val="en-US" w:eastAsia="es-ES"/>
        </w:rPr>
      </w:pPr>
      <w:proofErr w:type="spellStart"/>
      <w:proofErr w:type="gramStart"/>
      <w:r w:rsidRPr="004D6C48">
        <w:rPr>
          <w:rFonts w:ascii="Verdana" w:eastAsiaTheme="minorEastAsia" w:hAnsi="Verdana"/>
          <w:sz w:val="15"/>
          <w:szCs w:val="15"/>
          <w:lang w:val="en-US" w:eastAsia="es-ES"/>
        </w:rPr>
        <w:t>Tels</w:t>
      </w:r>
      <w:proofErr w:type="spellEnd"/>
      <w:r w:rsidRPr="004D6C48">
        <w:rPr>
          <w:rFonts w:ascii="Verdana" w:eastAsiaTheme="minorEastAsia" w:hAnsi="Verdana"/>
          <w:sz w:val="15"/>
          <w:szCs w:val="15"/>
          <w:lang w:val="en-US" w:eastAsia="es-ES"/>
        </w:rPr>
        <w:t>.:</w:t>
      </w:r>
      <w:proofErr w:type="gramEnd"/>
      <w:r w:rsidRPr="004D6C48">
        <w:rPr>
          <w:rFonts w:ascii="Verdana" w:eastAsiaTheme="minorEastAsia" w:hAnsi="Verdana"/>
          <w:sz w:val="15"/>
          <w:szCs w:val="15"/>
          <w:lang w:val="en-US" w:eastAsia="es-ES"/>
        </w:rPr>
        <w:t xml:space="preserve"> 914 325 969 – 699 99 58 72</w:t>
      </w:r>
    </w:p>
    <w:p w:rsidR="00FB740E" w:rsidRPr="004D6C48" w:rsidRDefault="00BB0D57" w:rsidP="0001108F">
      <w:pPr>
        <w:tabs>
          <w:tab w:val="left" w:pos="1276"/>
        </w:tabs>
        <w:autoSpaceDE w:val="0"/>
        <w:autoSpaceDN w:val="0"/>
        <w:adjustRightInd w:val="0"/>
        <w:spacing w:after="0" w:line="336" w:lineRule="auto"/>
        <w:ind w:left="-142"/>
        <w:jc w:val="both"/>
        <w:rPr>
          <w:rFonts w:ascii="Verdana" w:eastAsiaTheme="minorEastAsia" w:hAnsi="Verdana"/>
          <w:sz w:val="15"/>
          <w:szCs w:val="15"/>
          <w:u w:val="single"/>
          <w:lang w:val="en-US" w:eastAsia="es-ES"/>
        </w:rPr>
      </w:pPr>
      <w:hyperlink r:id="rId13" w:history="1">
        <w:r w:rsidR="00FB740E" w:rsidRPr="004D6C48">
          <w:rPr>
            <w:rFonts w:ascii="Verdana" w:eastAsiaTheme="minorEastAsia" w:hAnsi="Verdana"/>
            <w:color w:val="0000FF" w:themeColor="hyperlink"/>
            <w:sz w:val="15"/>
            <w:szCs w:val="15"/>
            <w:u w:val="single"/>
            <w:lang w:val="en-US" w:eastAsia="es-ES"/>
          </w:rPr>
          <w:t>comunicacion@une.org</w:t>
        </w:r>
      </w:hyperlink>
    </w:p>
    <w:p w:rsidR="00FB740E" w:rsidRPr="004D6C48" w:rsidRDefault="00BB0D57" w:rsidP="0001108F">
      <w:pPr>
        <w:spacing w:after="0" w:line="336" w:lineRule="auto"/>
        <w:ind w:left="-142"/>
        <w:mirrorIndents/>
        <w:rPr>
          <w:rFonts w:ascii="Verdana" w:eastAsiaTheme="minorEastAsia" w:hAnsi="Verdana"/>
          <w:sz w:val="15"/>
          <w:szCs w:val="15"/>
          <w:lang w:val="en-US" w:eastAsia="es-ES"/>
        </w:rPr>
      </w:pPr>
      <w:hyperlink r:id="rId14" w:history="1">
        <w:r w:rsidR="00FB740E" w:rsidRPr="004D6C48">
          <w:rPr>
            <w:rFonts w:ascii="Verdana" w:eastAsiaTheme="minorEastAsia" w:hAnsi="Verdana"/>
            <w:color w:val="0000FF" w:themeColor="hyperlink"/>
            <w:sz w:val="15"/>
            <w:szCs w:val="15"/>
            <w:u w:val="single"/>
            <w:lang w:val="en-US" w:eastAsia="es-ES"/>
          </w:rPr>
          <w:t>www.une.org</w:t>
        </w:r>
      </w:hyperlink>
      <w:r w:rsidR="00FB740E" w:rsidRPr="004D6C48">
        <w:rPr>
          <w:rFonts w:ascii="Verdana" w:eastAsiaTheme="minorEastAsia" w:hAnsi="Verdana"/>
          <w:sz w:val="15"/>
          <w:szCs w:val="15"/>
          <w:lang w:val="en-US" w:eastAsia="es-ES"/>
        </w:rPr>
        <w:t xml:space="preserve"> </w:t>
      </w:r>
    </w:p>
    <w:p w:rsidR="00FB740E" w:rsidRPr="004D6C48" w:rsidRDefault="00FB740E" w:rsidP="0001108F">
      <w:pPr>
        <w:spacing w:after="0" w:line="336" w:lineRule="auto"/>
        <w:ind w:left="-142"/>
        <w:mirrorIndents/>
        <w:rPr>
          <w:rFonts w:ascii="Verdana" w:eastAsiaTheme="minorEastAsia" w:hAnsi="Verdana"/>
          <w:sz w:val="6"/>
          <w:szCs w:val="6"/>
          <w:lang w:val="en-US" w:eastAsia="es-ES"/>
        </w:rPr>
      </w:pPr>
    </w:p>
    <w:p w:rsidR="00FB740E" w:rsidRPr="004D6C48" w:rsidRDefault="00FB740E" w:rsidP="0001108F">
      <w:pPr>
        <w:autoSpaceDE w:val="0"/>
        <w:autoSpaceDN w:val="0"/>
        <w:adjustRightInd w:val="0"/>
        <w:spacing w:after="0" w:line="336" w:lineRule="auto"/>
        <w:ind w:left="-142"/>
        <w:rPr>
          <w:rFonts w:ascii="Verdana" w:eastAsiaTheme="minorEastAsia" w:hAnsi="Verdana" w:cs="Verdana"/>
          <w:b/>
          <w:bCs/>
          <w:sz w:val="6"/>
          <w:szCs w:val="6"/>
          <w:lang w:val="en-US" w:eastAsia="es-ES"/>
        </w:rPr>
      </w:pPr>
    </w:p>
    <w:p w:rsidR="00FB740E" w:rsidRDefault="00FB740E" w:rsidP="0001108F">
      <w:pPr>
        <w:autoSpaceDE w:val="0"/>
        <w:autoSpaceDN w:val="0"/>
        <w:adjustRightInd w:val="0"/>
        <w:spacing w:after="0" w:line="336" w:lineRule="auto"/>
        <w:ind w:left="-142"/>
        <w:rPr>
          <w:rFonts w:ascii="Verdana" w:eastAsiaTheme="minorEastAsia" w:hAnsi="Verdana" w:cs="Verdana"/>
          <w:b/>
          <w:bCs/>
          <w:sz w:val="15"/>
          <w:szCs w:val="15"/>
          <w:lang w:val="es-ES_tradnl" w:eastAsia="es-ES"/>
        </w:rPr>
      </w:pPr>
      <w:r w:rsidRPr="00284262">
        <w:rPr>
          <w:rFonts w:ascii="Verdana" w:eastAsiaTheme="minorEastAsia" w:hAnsi="Verdana" w:cs="Verdana"/>
          <w:b/>
          <w:bCs/>
          <w:sz w:val="15"/>
          <w:szCs w:val="15"/>
          <w:lang w:val="es-ES_tradnl" w:eastAsia="es-ES"/>
        </w:rPr>
        <w:t>Síguenos en</w:t>
      </w:r>
    </w:p>
    <w:p w:rsidR="00FB740E" w:rsidRPr="00441D07" w:rsidRDefault="00FB740E" w:rsidP="0001108F">
      <w:pPr>
        <w:autoSpaceDE w:val="0"/>
        <w:autoSpaceDN w:val="0"/>
        <w:adjustRightInd w:val="0"/>
        <w:spacing w:after="0" w:line="336" w:lineRule="auto"/>
        <w:ind w:left="-142"/>
        <w:rPr>
          <w:rFonts w:ascii="Verdana" w:eastAsiaTheme="minorEastAsia" w:hAnsi="Verdana" w:cs="Verdana"/>
          <w:b/>
          <w:bCs/>
          <w:sz w:val="10"/>
          <w:szCs w:val="10"/>
          <w:lang w:val="es-ES_tradnl" w:eastAsia="es-ES"/>
        </w:rPr>
      </w:pPr>
    </w:p>
    <w:p w:rsidR="00FB740E" w:rsidRPr="00284262" w:rsidRDefault="00FB740E" w:rsidP="0001108F">
      <w:pPr>
        <w:autoSpaceDE w:val="0"/>
        <w:autoSpaceDN w:val="0"/>
        <w:adjustRightInd w:val="0"/>
        <w:spacing w:after="0" w:line="336" w:lineRule="auto"/>
        <w:ind w:left="-142"/>
        <w:rPr>
          <w:rFonts w:ascii="Verdana" w:eastAsiaTheme="minorEastAsia" w:hAnsi="Verdana"/>
          <w:b/>
          <w:sz w:val="15"/>
          <w:szCs w:val="15"/>
          <w:lang w:eastAsia="es-ES"/>
        </w:rPr>
      </w:pPr>
      <w:r>
        <w:rPr>
          <w:rFonts w:ascii="Verdana" w:eastAsiaTheme="minorEastAsia" w:hAnsi="Verdana"/>
          <w:sz w:val="15"/>
          <w:szCs w:val="15"/>
          <w:lang w:eastAsia="es-ES"/>
        </w:rPr>
        <w:t xml:space="preserve"> </w:t>
      </w:r>
      <w:r w:rsidRPr="00284262">
        <w:rPr>
          <w:rFonts w:ascii="Verdana" w:eastAsiaTheme="minorEastAsia" w:hAnsi="Verdana"/>
          <w:noProof/>
          <w:color w:val="0000FF"/>
          <w:sz w:val="15"/>
          <w:szCs w:val="15"/>
          <w:lang w:eastAsia="es-ES"/>
        </w:rPr>
        <w:drawing>
          <wp:inline distT="0" distB="0" distL="0" distR="0" wp14:anchorId="2B780A8D" wp14:editId="37398E60">
            <wp:extent cx="255905" cy="248920"/>
            <wp:effectExtent l="0" t="0" r="0" b="0"/>
            <wp:docPr id="1" name="Imagen 1" descr="cid:image36b10b.JPG@66505a2b.4e8e408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284262">
        <w:rPr>
          <w:rFonts w:ascii="Verdana" w:eastAsiaTheme="minorEastAsia" w:hAnsi="Verdana"/>
          <w:sz w:val="15"/>
          <w:szCs w:val="15"/>
          <w:lang w:eastAsia="es-ES"/>
        </w:rPr>
        <w:t xml:space="preserve">  </w:t>
      </w:r>
      <w:r w:rsidRPr="00284262">
        <w:rPr>
          <w:rFonts w:ascii="Verdana" w:eastAsiaTheme="minorEastAsia" w:hAnsi="Verdana"/>
          <w:noProof/>
          <w:color w:val="0000FF"/>
          <w:sz w:val="15"/>
          <w:szCs w:val="15"/>
          <w:lang w:eastAsia="es-ES"/>
        </w:rPr>
        <w:drawing>
          <wp:inline distT="0" distB="0" distL="0" distR="0" wp14:anchorId="3617D9D5" wp14:editId="4C0C9BDE">
            <wp:extent cx="258445" cy="246380"/>
            <wp:effectExtent l="0" t="0" r="8255" b="1270"/>
            <wp:docPr id="2" name="Imagen 2" descr="cid:image3b0d8a.JPG@4cc48137.4689fc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3b0d8a.JPG@4cc48137.4689fc80">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284262">
        <w:rPr>
          <w:rFonts w:ascii="Verdana" w:eastAsiaTheme="minorEastAsia" w:hAnsi="Verdana"/>
          <w:sz w:val="15"/>
          <w:szCs w:val="15"/>
          <w:lang w:eastAsia="es-ES"/>
        </w:rPr>
        <w:t>  </w:t>
      </w:r>
      <w:r w:rsidRPr="00284262">
        <w:rPr>
          <w:rFonts w:ascii="Verdana" w:eastAsiaTheme="minorEastAsia" w:hAnsi="Verdana"/>
          <w:noProof/>
          <w:color w:val="0000FF"/>
          <w:sz w:val="15"/>
          <w:szCs w:val="15"/>
          <w:lang w:eastAsia="es-ES"/>
        </w:rPr>
        <w:drawing>
          <wp:inline distT="0" distB="0" distL="0" distR="0" wp14:anchorId="1AC4652C" wp14:editId="7B6A146F">
            <wp:extent cx="258445" cy="246380"/>
            <wp:effectExtent l="0" t="0" r="8255" b="1270"/>
            <wp:docPr id="3" name="Imagen 3" descr="cid:image20da2d.JPG@20a37470.43acbc3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20da2d.JPG@20a37470.43acbc38">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284262">
        <w:rPr>
          <w:rFonts w:ascii="Verdana" w:eastAsiaTheme="minorEastAsia" w:hAnsi="Verdana"/>
          <w:sz w:val="15"/>
          <w:szCs w:val="15"/>
          <w:lang w:eastAsia="es-ES"/>
        </w:rPr>
        <w:t>          </w:t>
      </w:r>
      <w:r w:rsidRPr="00284262">
        <w:rPr>
          <w:rFonts w:ascii="Verdana" w:eastAsiaTheme="minorEastAsia" w:hAnsi="Verdana"/>
          <w:b/>
          <w:sz w:val="15"/>
          <w:szCs w:val="15"/>
          <w:lang w:eastAsia="es-ES"/>
        </w:rPr>
        <w:t xml:space="preserve">     </w:t>
      </w:r>
    </w:p>
    <w:p w:rsidR="00FB740E" w:rsidRDefault="00FB740E" w:rsidP="00FB740E">
      <w:pPr>
        <w:spacing w:after="0" w:line="336" w:lineRule="auto"/>
        <w:mirrorIndents/>
        <w:rPr>
          <w:rFonts w:ascii="Verdana" w:eastAsiaTheme="minorEastAsia" w:hAnsi="Verdana"/>
          <w:b/>
          <w:bCs/>
          <w:iCs/>
          <w:sz w:val="15"/>
          <w:szCs w:val="15"/>
          <w:lang w:eastAsia="es-ES"/>
        </w:rPr>
      </w:pPr>
    </w:p>
    <w:p w:rsidR="009463C4" w:rsidRDefault="009463C4" w:rsidP="00FB740E">
      <w:pPr>
        <w:spacing w:after="0" w:line="312" w:lineRule="auto"/>
        <w:mirrorIndents/>
        <w:rPr>
          <w:rFonts w:ascii="Verdana" w:eastAsiaTheme="minorEastAsia" w:hAnsi="Verdana"/>
          <w:b/>
          <w:bCs/>
          <w:iCs/>
          <w:sz w:val="15"/>
          <w:szCs w:val="15"/>
          <w:lang w:eastAsia="es-ES"/>
        </w:rPr>
      </w:pPr>
    </w:p>
    <w:p w:rsidR="009463C4" w:rsidRDefault="009463C4" w:rsidP="00FB740E">
      <w:pPr>
        <w:spacing w:after="0" w:line="312" w:lineRule="auto"/>
        <w:mirrorIndents/>
        <w:rPr>
          <w:rFonts w:ascii="Verdana" w:eastAsiaTheme="minorEastAsia" w:hAnsi="Verdana"/>
          <w:b/>
          <w:bCs/>
          <w:iCs/>
          <w:sz w:val="15"/>
          <w:szCs w:val="15"/>
          <w:lang w:eastAsia="es-ES"/>
        </w:rPr>
      </w:pPr>
    </w:p>
    <w:p w:rsidR="00441D07" w:rsidRDefault="00441D07" w:rsidP="00FB740E">
      <w:pPr>
        <w:spacing w:after="0" w:line="312" w:lineRule="auto"/>
        <w:mirrorIndents/>
        <w:rPr>
          <w:rFonts w:ascii="Verdana" w:eastAsiaTheme="minorEastAsia" w:hAnsi="Verdana"/>
          <w:b/>
          <w:bCs/>
          <w:iCs/>
          <w:sz w:val="15"/>
          <w:szCs w:val="15"/>
          <w:lang w:eastAsia="es-ES"/>
        </w:rPr>
      </w:pPr>
    </w:p>
    <w:p w:rsidR="004D6C48" w:rsidRDefault="004D6C48" w:rsidP="00FB740E">
      <w:pPr>
        <w:spacing w:after="0" w:line="312" w:lineRule="auto"/>
        <w:mirrorIndents/>
        <w:rPr>
          <w:rFonts w:ascii="Verdana" w:eastAsiaTheme="minorEastAsia" w:hAnsi="Verdana"/>
          <w:b/>
          <w:bCs/>
          <w:iCs/>
          <w:sz w:val="15"/>
          <w:szCs w:val="15"/>
          <w:lang w:eastAsia="es-ES"/>
        </w:rPr>
      </w:pPr>
    </w:p>
    <w:p w:rsidR="004D6C48" w:rsidRDefault="004D6C48" w:rsidP="00FB740E">
      <w:pPr>
        <w:spacing w:after="0" w:line="312" w:lineRule="auto"/>
        <w:mirrorIndents/>
        <w:rPr>
          <w:rFonts w:ascii="Verdana" w:eastAsiaTheme="minorEastAsia" w:hAnsi="Verdana"/>
          <w:b/>
          <w:bCs/>
          <w:iCs/>
          <w:sz w:val="15"/>
          <w:szCs w:val="15"/>
          <w:lang w:eastAsia="es-ES"/>
        </w:rPr>
      </w:pPr>
    </w:p>
    <w:p w:rsidR="00AE1CEC" w:rsidRDefault="00AE1CEC" w:rsidP="00FB740E">
      <w:pPr>
        <w:spacing w:after="0" w:line="312" w:lineRule="auto"/>
        <w:mirrorIndents/>
        <w:rPr>
          <w:rFonts w:ascii="Verdana" w:eastAsiaTheme="minorEastAsia" w:hAnsi="Verdana"/>
          <w:b/>
          <w:bCs/>
          <w:iCs/>
          <w:sz w:val="15"/>
          <w:szCs w:val="15"/>
          <w:lang w:eastAsia="es-ES"/>
        </w:rPr>
      </w:pPr>
    </w:p>
    <w:p w:rsidR="00AE1CEC" w:rsidRDefault="00AE1CEC" w:rsidP="00FB740E">
      <w:pPr>
        <w:spacing w:after="0" w:line="312" w:lineRule="auto"/>
        <w:mirrorIndents/>
        <w:rPr>
          <w:rFonts w:ascii="Verdana" w:eastAsiaTheme="minorEastAsia" w:hAnsi="Verdana"/>
          <w:b/>
          <w:bCs/>
          <w:iCs/>
          <w:sz w:val="15"/>
          <w:szCs w:val="15"/>
          <w:lang w:eastAsia="es-ES"/>
        </w:rPr>
      </w:pPr>
    </w:p>
    <w:p w:rsidR="00AE1CEC" w:rsidRDefault="00AE1CEC" w:rsidP="00FB740E">
      <w:pPr>
        <w:spacing w:after="0" w:line="312" w:lineRule="auto"/>
        <w:mirrorIndents/>
        <w:rPr>
          <w:rFonts w:ascii="Verdana" w:eastAsiaTheme="minorEastAsia" w:hAnsi="Verdana"/>
          <w:b/>
          <w:bCs/>
          <w:iCs/>
          <w:sz w:val="15"/>
          <w:szCs w:val="15"/>
          <w:lang w:eastAsia="es-ES"/>
        </w:rPr>
      </w:pPr>
    </w:p>
    <w:p w:rsidR="004D6C48" w:rsidRPr="00E144DB" w:rsidRDefault="00E144DB" w:rsidP="00FB740E">
      <w:pPr>
        <w:spacing w:after="0" w:line="312" w:lineRule="auto"/>
        <w:mirrorIndents/>
        <w:rPr>
          <w:rFonts w:ascii="Verdana" w:eastAsiaTheme="minorEastAsia" w:hAnsi="Verdana"/>
          <w:b/>
          <w:bCs/>
          <w:iCs/>
          <w:sz w:val="15"/>
          <w:szCs w:val="15"/>
          <w:lang w:eastAsia="es-ES"/>
        </w:rPr>
      </w:pPr>
      <w:r w:rsidRPr="00E144DB">
        <w:rPr>
          <w:rFonts w:ascii="Verdana" w:eastAsiaTheme="minorEastAsia" w:hAnsi="Verdana"/>
          <w:b/>
          <w:bCs/>
          <w:iCs/>
          <w:sz w:val="15"/>
          <w:szCs w:val="15"/>
          <w:lang w:eastAsia="es-ES"/>
        </w:rPr>
        <w:t>Entidad Nacional de Acreditación (ENAC)</w:t>
      </w:r>
    </w:p>
    <w:p w:rsidR="00E144DB" w:rsidRDefault="004D6C48" w:rsidP="004D6C48">
      <w:pPr>
        <w:spacing w:after="0" w:line="312" w:lineRule="auto"/>
        <w:mirrorIndents/>
        <w:rPr>
          <w:rFonts w:ascii="Verdana" w:eastAsiaTheme="minorEastAsia" w:hAnsi="Verdana"/>
          <w:bCs/>
          <w:iCs/>
          <w:sz w:val="15"/>
          <w:szCs w:val="15"/>
          <w:lang w:eastAsia="es-ES"/>
        </w:rPr>
      </w:pPr>
      <w:r>
        <w:rPr>
          <w:rFonts w:ascii="Verdana" w:eastAsiaTheme="minorEastAsia" w:hAnsi="Verdana"/>
          <w:bCs/>
          <w:iCs/>
          <w:sz w:val="15"/>
          <w:szCs w:val="15"/>
          <w:lang w:eastAsia="es-ES"/>
        </w:rPr>
        <w:t xml:space="preserve">Eva Martín </w:t>
      </w:r>
    </w:p>
    <w:p w:rsidR="004D6C48" w:rsidRDefault="004D6C48" w:rsidP="004D6C48">
      <w:pPr>
        <w:spacing w:after="0" w:line="312" w:lineRule="auto"/>
        <w:mirrorIndents/>
        <w:rPr>
          <w:rFonts w:ascii="Verdana" w:eastAsiaTheme="minorEastAsia" w:hAnsi="Verdana"/>
          <w:bCs/>
          <w:iCs/>
          <w:sz w:val="15"/>
          <w:szCs w:val="15"/>
          <w:lang w:eastAsia="es-ES"/>
        </w:rPr>
      </w:pPr>
      <w:r>
        <w:rPr>
          <w:rFonts w:ascii="Verdana" w:eastAsiaTheme="minorEastAsia" w:hAnsi="Verdana"/>
          <w:bCs/>
          <w:iCs/>
          <w:sz w:val="15"/>
          <w:szCs w:val="15"/>
          <w:lang w:eastAsia="es-ES"/>
        </w:rPr>
        <w:t xml:space="preserve">Gabinete de Prensa de ENAC </w:t>
      </w:r>
    </w:p>
    <w:p w:rsidR="004D6C48" w:rsidRDefault="004D6C48" w:rsidP="004D6C48">
      <w:pPr>
        <w:spacing w:after="0" w:line="312" w:lineRule="auto"/>
        <w:mirrorIndents/>
        <w:rPr>
          <w:rFonts w:ascii="Verdana" w:eastAsiaTheme="minorEastAsia" w:hAnsi="Verdana"/>
          <w:bCs/>
          <w:iCs/>
          <w:sz w:val="15"/>
          <w:szCs w:val="15"/>
          <w:lang w:eastAsia="es-ES"/>
        </w:rPr>
      </w:pPr>
      <w:r>
        <w:rPr>
          <w:rFonts w:ascii="Verdana" w:eastAsiaTheme="minorEastAsia" w:hAnsi="Verdana"/>
          <w:bCs/>
          <w:iCs/>
          <w:sz w:val="15"/>
          <w:szCs w:val="15"/>
          <w:lang w:eastAsia="es-ES"/>
        </w:rPr>
        <w:t xml:space="preserve">Tel: 91 444 51 41 - 628 17 49 01 </w:t>
      </w:r>
    </w:p>
    <w:p w:rsidR="00E144DB" w:rsidRDefault="00BB0D57" w:rsidP="004D6C48">
      <w:pPr>
        <w:spacing w:after="0" w:line="312" w:lineRule="auto"/>
        <w:mirrorIndents/>
        <w:rPr>
          <w:rFonts w:ascii="Verdana" w:eastAsiaTheme="minorEastAsia" w:hAnsi="Verdana"/>
          <w:bCs/>
          <w:iCs/>
          <w:sz w:val="15"/>
          <w:szCs w:val="15"/>
          <w:lang w:eastAsia="es-ES"/>
        </w:rPr>
      </w:pPr>
      <w:hyperlink r:id="rId24" w:history="1">
        <w:r w:rsidR="004D6C48" w:rsidRPr="005C3EF9">
          <w:rPr>
            <w:rStyle w:val="Hipervnculo"/>
            <w:rFonts w:ascii="Verdana" w:eastAsiaTheme="minorEastAsia" w:hAnsi="Verdana"/>
            <w:bCs/>
            <w:iCs/>
            <w:sz w:val="15"/>
            <w:szCs w:val="15"/>
            <w:lang w:eastAsia="es-ES"/>
          </w:rPr>
          <w:t>evamc@varenga.es</w:t>
        </w:r>
      </w:hyperlink>
      <w:r w:rsidR="004D6C48">
        <w:rPr>
          <w:rFonts w:ascii="Verdana" w:eastAsiaTheme="minorEastAsia" w:hAnsi="Verdana"/>
          <w:bCs/>
          <w:iCs/>
          <w:sz w:val="15"/>
          <w:szCs w:val="15"/>
          <w:lang w:eastAsia="es-ES"/>
        </w:rPr>
        <w:t xml:space="preserve"> </w:t>
      </w:r>
    </w:p>
    <w:p w:rsidR="00E144DB" w:rsidRDefault="00BB0D57" w:rsidP="004D6C48">
      <w:pPr>
        <w:spacing w:after="0" w:line="312" w:lineRule="auto"/>
        <w:mirrorIndents/>
        <w:rPr>
          <w:rFonts w:ascii="Verdana" w:eastAsiaTheme="minorEastAsia" w:hAnsi="Verdana"/>
          <w:bCs/>
          <w:iCs/>
          <w:sz w:val="15"/>
          <w:szCs w:val="15"/>
          <w:lang w:eastAsia="es-ES"/>
        </w:rPr>
      </w:pPr>
      <w:hyperlink r:id="rId25" w:history="1">
        <w:r w:rsidR="00AE1CEC" w:rsidRPr="005C3EF9">
          <w:rPr>
            <w:rStyle w:val="Hipervnculo"/>
            <w:rFonts w:ascii="Verdana" w:eastAsiaTheme="minorEastAsia" w:hAnsi="Verdana"/>
            <w:bCs/>
            <w:iCs/>
            <w:sz w:val="15"/>
            <w:szCs w:val="15"/>
            <w:lang w:eastAsia="es-ES"/>
          </w:rPr>
          <w:t>www.enac.es</w:t>
        </w:r>
      </w:hyperlink>
      <w:r w:rsidR="00AE1CEC">
        <w:rPr>
          <w:rFonts w:ascii="Verdana" w:eastAsiaTheme="minorEastAsia" w:hAnsi="Verdana"/>
          <w:bCs/>
          <w:iCs/>
          <w:sz w:val="15"/>
          <w:szCs w:val="15"/>
          <w:lang w:eastAsia="es-ES"/>
        </w:rPr>
        <w:t xml:space="preserve"> </w:t>
      </w:r>
    </w:p>
    <w:p w:rsidR="00E144DB" w:rsidRDefault="00E144DB" w:rsidP="0037672F">
      <w:pPr>
        <w:spacing w:after="0" w:line="312" w:lineRule="auto"/>
        <w:ind w:left="142"/>
        <w:mirrorIndents/>
        <w:rPr>
          <w:rFonts w:ascii="Verdana" w:eastAsiaTheme="minorEastAsia" w:hAnsi="Verdana"/>
          <w:bCs/>
          <w:iCs/>
          <w:sz w:val="15"/>
          <w:szCs w:val="15"/>
          <w:lang w:val="es-ES_tradnl" w:eastAsia="es-ES"/>
        </w:rPr>
      </w:pPr>
    </w:p>
    <w:p w:rsidR="00AE1CEC" w:rsidRPr="00AE1CEC" w:rsidRDefault="00AE1CEC" w:rsidP="00AE1CEC">
      <w:pPr>
        <w:spacing w:after="0" w:line="312" w:lineRule="auto"/>
        <w:mirrorIndents/>
        <w:rPr>
          <w:rFonts w:ascii="Verdana" w:eastAsiaTheme="minorEastAsia" w:hAnsi="Verdana"/>
          <w:bCs/>
          <w:iCs/>
          <w:sz w:val="15"/>
          <w:szCs w:val="15"/>
          <w:lang w:val="es-ES_tradnl" w:eastAsia="es-ES"/>
        </w:rPr>
      </w:pPr>
      <w:r w:rsidRPr="00284262">
        <w:rPr>
          <w:rFonts w:ascii="Verdana" w:eastAsiaTheme="minorEastAsia" w:hAnsi="Verdana" w:cs="Verdana"/>
          <w:b/>
          <w:bCs/>
          <w:sz w:val="15"/>
          <w:szCs w:val="15"/>
          <w:lang w:val="es-ES_tradnl" w:eastAsia="es-ES"/>
        </w:rPr>
        <w:t>Síguenos en</w:t>
      </w:r>
    </w:p>
    <w:p w:rsidR="00E144DB" w:rsidRDefault="00E144DB" w:rsidP="0037672F">
      <w:pPr>
        <w:spacing w:after="0" w:line="312" w:lineRule="auto"/>
        <w:ind w:left="142"/>
        <w:mirrorIndents/>
        <w:rPr>
          <w:rFonts w:ascii="Verdana" w:eastAsiaTheme="minorEastAsia" w:hAnsi="Verdana"/>
          <w:bCs/>
          <w:iCs/>
          <w:sz w:val="15"/>
          <w:szCs w:val="15"/>
          <w:lang w:eastAsia="es-ES"/>
        </w:rPr>
      </w:pPr>
    </w:p>
    <w:p w:rsidR="00AE1CEC" w:rsidRDefault="00AE1CEC" w:rsidP="00AE1CEC">
      <w:r w:rsidRPr="00EE423B">
        <w:rPr>
          <w:b/>
          <w:noProof/>
          <w:lang w:eastAsia="es-ES"/>
        </w:rPr>
        <w:drawing>
          <wp:inline distT="0" distB="0" distL="0" distR="0">
            <wp:extent cx="221615" cy="221615"/>
            <wp:effectExtent l="0" t="0" r="6985" b="6985"/>
            <wp:docPr id="5" name="Imagen 5" descr="Resultado de imagen de icono linkedi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26"/>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inline>
        </w:drawing>
      </w:r>
      <w:r>
        <w:t xml:space="preserve"> </w:t>
      </w:r>
      <w:r w:rsidRPr="00C44DB3">
        <w:rPr>
          <w:noProof/>
          <w:lang w:eastAsia="es-ES"/>
        </w:rPr>
        <w:drawing>
          <wp:inline distT="0" distB="0" distL="0" distR="0">
            <wp:extent cx="221615" cy="181610"/>
            <wp:effectExtent l="0" t="0" r="6985" b="8890"/>
            <wp:docPr id="19" name="Imagen 19" descr="Resultado de imagen de icono twitt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29"/>
                    </pic:cNvPr>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inline>
        </w:drawing>
      </w:r>
    </w:p>
    <w:p w:rsidR="00E144DB" w:rsidRDefault="00E144DB" w:rsidP="0037672F">
      <w:pPr>
        <w:spacing w:after="0" w:line="312" w:lineRule="auto"/>
        <w:ind w:left="142"/>
        <w:mirrorIndents/>
        <w:rPr>
          <w:rFonts w:ascii="Verdana" w:eastAsiaTheme="minorEastAsia" w:hAnsi="Verdana"/>
          <w:bCs/>
          <w:iCs/>
          <w:sz w:val="15"/>
          <w:szCs w:val="15"/>
          <w:lang w:eastAsia="es-ES"/>
        </w:rPr>
      </w:pPr>
    </w:p>
    <w:p w:rsidR="00FB740E" w:rsidRDefault="00FB740E" w:rsidP="00E144DB">
      <w:pPr>
        <w:spacing w:after="0" w:line="312" w:lineRule="auto"/>
        <w:ind w:left="142"/>
        <w:mirrorIndents/>
        <w:rPr>
          <w:rFonts w:ascii="Verdana" w:eastAsiaTheme="minorEastAsia" w:hAnsi="Verdana"/>
          <w:b/>
          <w:sz w:val="15"/>
          <w:szCs w:val="15"/>
          <w:lang w:eastAsia="es-ES"/>
        </w:rPr>
      </w:pPr>
    </w:p>
    <w:p w:rsidR="00FB740E" w:rsidRDefault="00FB740E" w:rsidP="00E144DB">
      <w:pPr>
        <w:spacing w:after="0" w:line="312" w:lineRule="auto"/>
        <w:ind w:left="142"/>
        <w:mirrorIndents/>
        <w:rPr>
          <w:rFonts w:ascii="Verdana" w:eastAsiaTheme="minorEastAsia" w:hAnsi="Verdana"/>
          <w:b/>
          <w:sz w:val="15"/>
          <w:szCs w:val="15"/>
          <w:lang w:eastAsia="es-ES"/>
        </w:rPr>
      </w:pPr>
    </w:p>
    <w:p w:rsidR="00FB740E" w:rsidRDefault="00FB740E" w:rsidP="00E144DB">
      <w:pPr>
        <w:spacing w:after="0" w:line="312" w:lineRule="auto"/>
        <w:ind w:left="142"/>
        <w:mirrorIndents/>
        <w:rPr>
          <w:rFonts w:ascii="Verdana" w:eastAsiaTheme="minorEastAsia" w:hAnsi="Verdana"/>
          <w:b/>
          <w:sz w:val="15"/>
          <w:szCs w:val="15"/>
          <w:lang w:eastAsia="es-ES"/>
        </w:rPr>
      </w:pPr>
    </w:p>
    <w:p w:rsidR="00FB740E" w:rsidRDefault="00FB740E" w:rsidP="00E144DB">
      <w:pPr>
        <w:spacing w:after="0" w:line="312" w:lineRule="auto"/>
        <w:ind w:left="142"/>
        <w:mirrorIndents/>
        <w:rPr>
          <w:rFonts w:ascii="Verdana" w:eastAsiaTheme="minorEastAsia" w:hAnsi="Verdana"/>
          <w:b/>
          <w:sz w:val="15"/>
          <w:szCs w:val="15"/>
          <w:lang w:eastAsia="es-ES"/>
        </w:rPr>
      </w:pPr>
    </w:p>
    <w:p w:rsidR="009463C4" w:rsidRDefault="009463C4" w:rsidP="00E144DB">
      <w:pPr>
        <w:spacing w:after="0" w:line="312" w:lineRule="auto"/>
        <w:ind w:left="142"/>
        <w:mirrorIndents/>
        <w:rPr>
          <w:rFonts w:ascii="Verdana" w:eastAsiaTheme="minorEastAsia" w:hAnsi="Verdana"/>
          <w:b/>
          <w:sz w:val="15"/>
          <w:szCs w:val="15"/>
          <w:lang w:eastAsia="es-ES"/>
        </w:rPr>
      </w:pPr>
    </w:p>
    <w:p w:rsidR="009463C4" w:rsidRDefault="009463C4" w:rsidP="00E144DB">
      <w:pPr>
        <w:spacing w:after="0" w:line="312" w:lineRule="auto"/>
        <w:ind w:left="142"/>
        <w:mirrorIndents/>
        <w:rPr>
          <w:rFonts w:ascii="Verdana" w:eastAsiaTheme="minorEastAsia" w:hAnsi="Verdana"/>
          <w:b/>
          <w:sz w:val="15"/>
          <w:szCs w:val="15"/>
          <w:lang w:eastAsia="es-ES"/>
        </w:rPr>
      </w:pPr>
    </w:p>
    <w:p w:rsidR="00FB740E" w:rsidRDefault="00FB740E" w:rsidP="00E144DB">
      <w:pPr>
        <w:spacing w:after="0" w:line="312" w:lineRule="auto"/>
        <w:ind w:left="142"/>
        <w:mirrorIndents/>
        <w:rPr>
          <w:rFonts w:ascii="Verdana" w:eastAsiaTheme="minorEastAsia" w:hAnsi="Verdana"/>
          <w:b/>
          <w:sz w:val="15"/>
          <w:szCs w:val="15"/>
          <w:lang w:eastAsia="es-ES"/>
        </w:rPr>
      </w:pPr>
    </w:p>
    <w:p w:rsidR="00E144DB" w:rsidRDefault="00E144DB">
      <w:pPr>
        <w:sectPr w:rsidR="00E144DB" w:rsidSect="00E144DB">
          <w:type w:val="continuous"/>
          <w:pgSz w:w="11906" w:h="16838"/>
          <w:pgMar w:top="1985" w:right="1304" w:bottom="1418" w:left="1304" w:header="709" w:footer="709" w:gutter="0"/>
          <w:cols w:num="2" w:space="708"/>
          <w:docGrid w:linePitch="360"/>
        </w:sectPr>
      </w:pPr>
    </w:p>
    <w:p w:rsidR="00C76767" w:rsidRDefault="00BB0D57"/>
    <w:sectPr w:rsidR="00C76767" w:rsidSect="00E144DB">
      <w:type w:val="continuous"/>
      <w:pgSz w:w="11906" w:h="16838"/>
      <w:pgMar w:top="1985"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BE" w:rsidRDefault="00126EBE">
      <w:pPr>
        <w:spacing w:after="0" w:line="240" w:lineRule="auto"/>
      </w:pPr>
      <w:r>
        <w:separator/>
      </w:r>
    </w:p>
  </w:endnote>
  <w:endnote w:type="continuationSeparator" w:id="0">
    <w:p w:rsidR="00126EBE" w:rsidRDefault="0012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BE" w:rsidRDefault="00126EBE">
      <w:pPr>
        <w:spacing w:after="0" w:line="240" w:lineRule="auto"/>
      </w:pPr>
      <w:r>
        <w:separator/>
      </w:r>
    </w:p>
  </w:footnote>
  <w:footnote w:type="continuationSeparator" w:id="0">
    <w:p w:rsidR="00126EBE" w:rsidRDefault="0012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A" w:rsidRDefault="004D6C48">
    <w:pPr>
      <w:pStyle w:val="Encabezado"/>
    </w:pPr>
    <w:r>
      <w:rPr>
        <w:noProof/>
      </w:rPr>
      <w:drawing>
        <wp:anchor distT="0" distB="0" distL="114300" distR="114300" simplePos="0" relativeHeight="251660288" behindDoc="1" locked="0" layoutInCell="1" allowOverlap="1" wp14:anchorId="3A879AB3" wp14:editId="7F4688FC">
          <wp:simplePos x="0" y="0"/>
          <wp:positionH relativeFrom="column">
            <wp:posOffset>635</wp:posOffset>
          </wp:positionH>
          <wp:positionV relativeFrom="paragraph">
            <wp:posOffset>-196850</wp:posOffset>
          </wp:positionV>
          <wp:extent cx="1623695" cy="897255"/>
          <wp:effectExtent l="0" t="0" r="0" b="0"/>
          <wp:wrapTight wrapText="bothSides">
            <wp:wrapPolygon edited="0">
              <wp:start x="0" y="0"/>
              <wp:lineTo x="0" y="21096"/>
              <wp:lineTo x="21287" y="21096"/>
              <wp:lineTo x="21287" y="0"/>
              <wp:lineTo x="0" y="0"/>
            </wp:wrapPolygon>
          </wp:wrapTight>
          <wp:docPr id="20" name="Imagen 20" descr="C:\Users\evamc\Downloads\LOGO ENAC COLOR al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mc\Downloads\LOGO ENAC COLOR alt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6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0022215" wp14:editId="7CE26740">
          <wp:simplePos x="0" y="0"/>
          <wp:positionH relativeFrom="column">
            <wp:posOffset>4576445</wp:posOffset>
          </wp:positionH>
          <wp:positionV relativeFrom="paragraph">
            <wp:posOffset>-275590</wp:posOffset>
          </wp:positionV>
          <wp:extent cx="1658620" cy="1169670"/>
          <wp:effectExtent l="0" t="0" r="0" b="0"/>
          <wp:wrapSquare wrapText="bothSides"/>
          <wp:docPr id="21" name="Imagen 21" descr="C:\gustavo\NOTAS DE PRENSA, NOTICIAS, CV PRESIDENTE\EJEMPLOS NUEVAS NOTAS, BOILER CORPORATIVO, DOSSIER DE PRENSA Y CONVOCATORIAS DE PRENSA\LOGOS UNE Y AENOR\UNEpositiv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ustavo\NOTAS DE PRENSA, NOTICIAS, CV PRESIDENTE\EJEMPLOS NUEVAS NOTAS, BOILER CORPORATIVO, DOSSIER DE PRENSA Y CONVOCATORIAS DE PRENSA\LOGOS UNE Y AENOR\UNEpositivo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862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0E0A"/>
    <w:multiLevelType w:val="hybridMultilevel"/>
    <w:tmpl w:val="B3E25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A761D0"/>
    <w:multiLevelType w:val="hybridMultilevel"/>
    <w:tmpl w:val="5DD8B06C"/>
    <w:lvl w:ilvl="0" w:tplc="0C0A0001">
      <w:start w:val="1"/>
      <w:numFmt w:val="bullet"/>
      <w:lvlText w:val=""/>
      <w:lvlJc w:val="left"/>
      <w:pPr>
        <w:ind w:left="645" w:hanging="360"/>
      </w:pPr>
      <w:rPr>
        <w:rFonts w:ascii="Symbol" w:hAnsi="Symbol" w:hint="default"/>
      </w:rPr>
    </w:lvl>
    <w:lvl w:ilvl="1" w:tplc="0C0A0003">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2">
    <w:nsid w:val="55317B30"/>
    <w:multiLevelType w:val="multilevel"/>
    <w:tmpl w:val="817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96"/>
    <w:rsid w:val="00006F2F"/>
    <w:rsid w:val="0001108F"/>
    <w:rsid w:val="00022B23"/>
    <w:rsid w:val="00050420"/>
    <w:rsid w:val="00087BCE"/>
    <w:rsid w:val="00126EBE"/>
    <w:rsid w:val="00150353"/>
    <w:rsid w:val="001956D3"/>
    <w:rsid w:val="001C78F6"/>
    <w:rsid w:val="00284262"/>
    <w:rsid w:val="002A629C"/>
    <w:rsid w:val="002B1FEC"/>
    <w:rsid w:val="00376573"/>
    <w:rsid w:val="0037672F"/>
    <w:rsid w:val="00417AA7"/>
    <w:rsid w:val="00441D07"/>
    <w:rsid w:val="004D6C48"/>
    <w:rsid w:val="004F0286"/>
    <w:rsid w:val="00521F0D"/>
    <w:rsid w:val="00565498"/>
    <w:rsid w:val="00576896"/>
    <w:rsid w:val="005A61CD"/>
    <w:rsid w:val="005D587B"/>
    <w:rsid w:val="00655D03"/>
    <w:rsid w:val="00757D2C"/>
    <w:rsid w:val="00773725"/>
    <w:rsid w:val="00784907"/>
    <w:rsid w:val="0080070C"/>
    <w:rsid w:val="008072FD"/>
    <w:rsid w:val="0088230C"/>
    <w:rsid w:val="008A067C"/>
    <w:rsid w:val="00944BA6"/>
    <w:rsid w:val="009463C4"/>
    <w:rsid w:val="009807A1"/>
    <w:rsid w:val="00A01054"/>
    <w:rsid w:val="00A21444"/>
    <w:rsid w:val="00AA3C6F"/>
    <w:rsid w:val="00AB2ACB"/>
    <w:rsid w:val="00AE1CEC"/>
    <w:rsid w:val="00B330E9"/>
    <w:rsid w:val="00BB0D57"/>
    <w:rsid w:val="00C2543C"/>
    <w:rsid w:val="00C57F86"/>
    <w:rsid w:val="00C83F77"/>
    <w:rsid w:val="00DE0877"/>
    <w:rsid w:val="00DF171A"/>
    <w:rsid w:val="00E144DB"/>
    <w:rsid w:val="00EB61E6"/>
    <w:rsid w:val="00ED3094"/>
    <w:rsid w:val="00EE6FB9"/>
    <w:rsid w:val="00FB4C6B"/>
    <w:rsid w:val="00FB740E"/>
    <w:rsid w:val="00FE41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62"/>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uiPriority w:val="99"/>
    <w:rsid w:val="00284262"/>
    <w:rPr>
      <w:rFonts w:eastAsiaTheme="minorEastAsia"/>
      <w:sz w:val="24"/>
      <w:szCs w:val="24"/>
      <w:lang w:eastAsia="es-ES"/>
    </w:rPr>
  </w:style>
  <w:style w:type="paragraph" w:styleId="Textodeglobo">
    <w:name w:val="Balloon Text"/>
    <w:basedOn w:val="Normal"/>
    <w:link w:val="TextodegloboCar"/>
    <w:uiPriority w:val="99"/>
    <w:semiHidden/>
    <w:unhideWhenUsed/>
    <w:rsid w:val="00284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262"/>
    <w:rPr>
      <w:rFonts w:ascii="Tahoma" w:hAnsi="Tahoma" w:cs="Tahoma"/>
      <w:sz w:val="16"/>
      <w:szCs w:val="16"/>
    </w:rPr>
  </w:style>
  <w:style w:type="character" w:styleId="Hipervnculo">
    <w:name w:val="Hyperlink"/>
    <w:basedOn w:val="Fuentedeprrafopredeter"/>
    <w:uiPriority w:val="99"/>
    <w:unhideWhenUsed/>
    <w:rsid w:val="001956D3"/>
    <w:rPr>
      <w:color w:val="0000FF" w:themeColor="hyperlink"/>
      <w:u w:val="single"/>
    </w:rPr>
  </w:style>
  <w:style w:type="character" w:styleId="Hipervnculovisitado">
    <w:name w:val="FollowedHyperlink"/>
    <w:basedOn w:val="Fuentedeprrafopredeter"/>
    <w:uiPriority w:val="99"/>
    <w:semiHidden/>
    <w:unhideWhenUsed/>
    <w:rsid w:val="001956D3"/>
    <w:rPr>
      <w:color w:val="800080" w:themeColor="followedHyperlink"/>
      <w:u w:val="single"/>
    </w:rPr>
  </w:style>
  <w:style w:type="paragraph" w:styleId="Piedepgina">
    <w:name w:val="footer"/>
    <w:basedOn w:val="Normal"/>
    <w:link w:val="PiedepginaCar"/>
    <w:uiPriority w:val="99"/>
    <w:unhideWhenUsed/>
    <w:rsid w:val="00EE6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FB9"/>
  </w:style>
  <w:style w:type="character" w:styleId="Refdecomentario">
    <w:name w:val="annotation reference"/>
    <w:basedOn w:val="Fuentedeprrafopredeter"/>
    <w:uiPriority w:val="99"/>
    <w:semiHidden/>
    <w:unhideWhenUsed/>
    <w:rsid w:val="0088230C"/>
    <w:rPr>
      <w:sz w:val="16"/>
      <w:szCs w:val="16"/>
    </w:rPr>
  </w:style>
  <w:style w:type="paragraph" w:styleId="Textocomentario">
    <w:name w:val="annotation text"/>
    <w:basedOn w:val="Normal"/>
    <w:link w:val="TextocomentarioCar"/>
    <w:uiPriority w:val="99"/>
    <w:semiHidden/>
    <w:unhideWhenUsed/>
    <w:rsid w:val="008823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230C"/>
    <w:rPr>
      <w:sz w:val="20"/>
      <w:szCs w:val="20"/>
    </w:rPr>
  </w:style>
  <w:style w:type="paragraph" w:styleId="Asuntodelcomentario">
    <w:name w:val="annotation subject"/>
    <w:basedOn w:val="Textocomentario"/>
    <w:next w:val="Textocomentario"/>
    <w:link w:val="AsuntodelcomentarioCar"/>
    <w:uiPriority w:val="99"/>
    <w:semiHidden/>
    <w:unhideWhenUsed/>
    <w:rsid w:val="0088230C"/>
    <w:rPr>
      <w:b/>
      <w:bCs/>
    </w:rPr>
  </w:style>
  <w:style w:type="character" w:customStyle="1" w:styleId="AsuntodelcomentarioCar">
    <w:name w:val="Asunto del comentario Car"/>
    <w:basedOn w:val="TextocomentarioCar"/>
    <w:link w:val="Asuntodelcomentario"/>
    <w:uiPriority w:val="99"/>
    <w:semiHidden/>
    <w:rsid w:val="0088230C"/>
    <w:rPr>
      <w:b/>
      <w:bCs/>
      <w:sz w:val="20"/>
      <w:szCs w:val="20"/>
    </w:rPr>
  </w:style>
  <w:style w:type="paragraph" w:styleId="Revisin">
    <w:name w:val="Revision"/>
    <w:hidden/>
    <w:uiPriority w:val="99"/>
    <w:semiHidden/>
    <w:rsid w:val="008823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62"/>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uiPriority w:val="99"/>
    <w:rsid w:val="00284262"/>
    <w:rPr>
      <w:rFonts w:eastAsiaTheme="minorEastAsia"/>
      <w:sz w:val="24"/>
      <w:szCs w:val="24"/>
      <w:lang w:eastAsia="es-ES"/>
    </w:rPr>
  </w:style>
  <w:style w:type="paragraph" w:styleId="Textodeglobo">
    <w:name w:val="Balloon Text"/>
    <w:basedOn w:val="Normal"/>
    <w:link w:val="TextodegloboCar"/>
    <w:uiPriority w:val="99"/>
    <w:semiHidden/>
    <w:unhideWhenUsed/>
    <w:rsid w:val="00284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262"/>
    <w:rPr>
      <w:rFonts w:ascii="Tahoma" w:hAnsi="Tahoma" w:cs="Tahoma"/>
      <w:sz w:val="16"/>
      <w:szCs w:val="16"/>
    </w:rPr>
  </w:style>
  <w:style w:type="character" w:styleId="Hipervnculo">
    <w:name w:val="Hyperlink"/>
    <w:basedOn w:val="Fuentedeprrafopredeter"/>
    <w:uiPriority w:val="99"/>
    <w:unhideWhenUsed/>
    <w:rsid w:val="001956D3"/>
    <w:rPr>
      <w:color w:val="0000FF" w:themeColor="hyperlink"/>
      <w:u w:val="single"/>
    </w:rPr>
  </w:style>
  <w:style w:type="character" w:styleId="Hipervnculovisitado">
    <w:name w:val="FollowedHyperlink"/>
    <w:basedOn w:val="Fuentedeprrafopredeter"/>
    <w:uiPriority w:val="99"/>
    <w:semiHidden/>
    <w:unhideWhenUsed/>
    <w:rsid w:val="001956D3"/>
    <w:rPr>
      <w:color w:val="800080" w:themeColor="followedHyperlink"/>
      <w:u w:val="single"/>
    </w:rPr>
  </w:style>
  <w:style w:type="paragraph" w:styleId="Piedepgina">
    <w:name w:val="footer"/>
    <w:basedOn w:val="Normal"/>
    <w:link w:val="PiedepginaCar"/>
    <w:uiPriority w:val="99"/>
    <w:unhideWhenUsed/>
    <w:rsid w:val="00EE6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FB9"/>
  </w:style>
  <w:style w:type="character" w:styleId="Refdecomentario">
    <w:name w:val="annotation reference"/>
    <w:basedOn w:val="Fuentedeprrafopredeter"/>
    <w:uiPriority w:val="99"/>
    <w:semiHidden/>
    <w:unhideWhenUsed/>
    <w:rsid w:val="0088230C"/>
    <w:rPr>
      <w:sz w:val="16"/>
      <w:szCs w:val="16"/>
    </w:rPr>
  </w:style>
  <w:style w:type="paragraph" w:styleId="Textocomentario">
    <w:name w:val="annotation text"/>
    <w:basedOn w:val="Normal"/>
    <w:link w:val="TextocomentarioCar"/>
    <w:uiPriority w:val="99"/>
    <w:semiHidden/>
    <w:unhideWhenUsed/>
    <w:rsid w:val="008823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230C"/>
    <w:rPr>
      <w:sz w:val="20"/>
      <w:szCs w:val="20"/>
    </w:rPr>
  </w:style>
  <w:style w:type="paragraph" w:styleId="Asuntodelcomentario">
    <w:name w:val="annotation subject"/>
    <w:basedOn w:val="Textocomentario"/>
    <w:next w:val="Textocomentario"/>
    <w:link w:val="AsuntodelcomentarioCar"/>
    <w:uiPriority w:val="99"/>
    <w:semiHidden/>
    <w:unhideWhenUsed/>
    <w:rsid w:val="0088230C"/>
    <w:rPr>
      <w:b/>
      <w:bCs/>
    </w:rPr>
  </w:style>
  <w:style w:type="character" w:customStyle="1" w:styleId="AsuntodelcomentarioCar">
    <w:name w:val="Asunto del comentario Car"/>
    <w:basedOn w:val="TextocomentarioCar"/>
    <w:link w:val="Asuntodelcomentario"/>
    <w:uiPriority w:val="99"/>
    <w:semiHidden/>
    <w:rsid w:val="0088230C"/>
    <w:rPr>
      <w:b/>
      <w:bCs/>
      <w:sz w:val="20"/>
      <w:szCs w:val="20"/>
    </w:rPr>
  </w:style>
  <w:style w:type="paragraph" w:styleId="Revisin">
    <w:name w:val="Revision"/>
    <w:hidden/>
    <w:uiPriority w:val="99"/>
    <w:semiHidden/>
    <w:rsid w:val="00882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192">
      <w:bodyDiv w:val="1"/>
      <w:marLeft w:val="0"/>
      <w:marRight w:val="0"/>
      <w:marTop w:val="0"/>
      <w:marBottom w:val="0"/>
      <w:divBdr>
        <w:top w:val="none" w:sz="0" w:space="0" w:color="auto"/>
        <w:left w:val="none" w:sz="0" w:space="0" w:color="auto"/>
        <w:bottom w:val="none" w:sz="0" w:space="0" w:color="auto"/>
        <w:right w:val="none" w:sz="0" w:space="0" w:color="auto"/>
      </w:divBdr>
    </w:div>
    <w:div w:id="649674268">
      <w:bodyDiv w:val="1"/>
      <w:marLeft w:val="0"/>
      <w:marRight w:val="0"/>
      <w:marTop w:val="0"/>
      <w:marBottom w:val="0"/>
      <w:divBdr>
        <w:top w:val="none" w:sz="0" w:space="0" w:color="auto"/>
        <w:left w:val="none" w:sz="0" w:space="0" w:color="auto"/>
        <w:bottom w:val="none" w:sz="0" w:space="0" w:color="auto"/>
        <w:right w:val="none" w:sz="0" w:space="0" w:color="auto"/>
      </w:divBdr>
    </w:div>
    <w:div w:id="878788088">
      <w:bodyDiv w:val="1"/>
      <w:marLeft w:val="0"/>
      <w:marRight w:val="0"/>
      <w:marTop w:val="0"/>
      <w:marBottom w:val="0"/>
      <w:divBdr>
        <w:top w:val="none" w:sz="0" w:space="0" w:color="auto"/>
        <w:left w:val="none" w:sz="0" w:space="0" w:color="auto"/>
        <w:bottom w:val="none" w:sz="0" w:space="0" w:color="auto"/>
        <w:right w:val="none" w:sz="0" w:space="0" w:color="auto"/>
      </w:divBdr>
    </w:div>
    <w:div w:id="19200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granero@une.org" TargetMode="External"/><Relationship Id="rId18" Type="http://schemas.openxmlformats.org/officeDocument/2006/relationships/hyperlink" Target="https://twitter.com/NormasUNE" TargetMode="External"/><Relationship Id="rId26" Type="http://schemas.openxmlformats.org/officeDocument/2006/relationships/hyperlink" Target="https://www.linkedin.com/company/entidad-nacional-de-acreditacion" TargetMode="External"/><Relationship Id="rId3" Type="http://schemas.openxmlformats.org/officeDocument/2006/relationships/styles" Target="styles.xml"/><Relationship Id="rId21" Type="http://schemas.openxmlformats.org/officeDocument/2006/relationships/hyperlink" Target="https://www.youtube.com/channel/UCl1cbwOPrFUxcq4yf61jIzw"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cid:image002.jpg@01D27BBE.0C8B8AC0" TargetMode="External"/><Relationship Id="rId25" Type="http://schemas.openxmlformats.org/officeDocument/2006/relationships/hyperlink" Target="http://www.ena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cid:image3b0d8a.JPG@4cc48137.4689fc80" TargetMode="External"/><Relationship Id="rId29" Type="http://schemas.openxmlformats.org/officeDocument/2006/relationships/hyperlink" Target="https://twitter.com/ENAC_acredi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ac.es/documents/7020/15699/guia-contratacionpublica-une-enac/9470fb87-26d1-4567-9af2-51fd601503fe" TargetMode="External"/><Relationship Id="rId24" Type="http://schemas.openxmlformats.org/officeDocument/2006/relationships/hyperlink" Target="mailto:evamc@varenga.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kedin.com/company/une-asociaci&#243;n-espa&#241;ola-de-normalizaci&#243;n" TargetMode="External"/><Relationship Id="rId23" Type="http://schemas.openxmlformats.org/officeDocument/2006/relationships/image" Target="cid:image20da2d.JPG@20a37470.43acbc38" TargetMode="External"/><Relationship Id="rId28" Type="http://schemas.openxmlformats.org/officeDocument/2006/relationships/image" Target="http://icon-icons.com/icons2/808/PNG/512/linkedin_icon-icons.com_66096.png" TargetMode="External"/><Relationship Id="rId10" Type="http://schemas.openxmlformats.org/officeDocument/2006/relationships/hyperlink" Target="http://www.enac.es/" TargetMode="External"/><Relationship Id="rId19" Type="http://schemas.openxmlformats.org/officeDocument/2006/relationships/image" Target="media/image4.jpeg"/><Relationship Id="rId31" Type="http://schemas.openxmlformats.org/officeDocument/2006/relationships/image" Target="http://vignette1.wikia.nocookie.net/hieloyfuego/images/a/a1/%C3%8Dcono_Twitter.png/revision/latest?cb=20130921232359" TargetMode="External"/><Relationship Id="rId4" Type="http://schemas.microsoft.com/office/2007/relationships/stylesWithEffects" Target="stylesWithEffects.xml"/><Relationship Id="rId9" Type="http://schemas.openxmlformats.org/officeDocument/2006/relationships/hyperlink" Target="http://www.une.org" TargetMode="External"/><Relationship Id="rId14" Type="http://schemas.openxmlformats.org/officeDocument/2006/relationships/hyperlink" Target="http://www.une.org" TargetMode="External"/><Relationship Id="rId22" Type="http://schemas.openxmlformats.org/officeDocument/2006/relationships/image" Target="media/image5.jpeg"/><Relationship Id="rId27" Type="http://schemas.openxmlformats.org/officeDocument/2006/relationships/image" Target="media/image6.png"/><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229B-D531-4A51-8AE3-57410B3C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3707</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AENOR</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Granero Benitez</dc:creator>
  <cp:lastModifiedBy>Denise Díaz Pozo</cp:lastModifiedBy>
  <cp:revision>2</cp:revision>
  <cp:lastPrinted>2018-05-24T09:38:00Z</cp:lastPrinted>
  <dcterms:created xsi:type="dcterms:W3CDTF">2018-05-31T10:53:00Z</dcterms:created>
  <dcterms:modified xsi:type="dcterms:W3CDTF">2018-05-31T10:53:00Z</dcterms:modified>
</cp:coreProperties>
</file>