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48EE" w14:textId="77777777" w:rsidR="00322A62" w:rsidRDefault="00322A62">
      <w:pPr>
        <w:rPr>
          <w:b/>
          <w:sz w:val="42"/>
          <w:szCs w:val="42"/>
        </w:rPr>
      </w:pPr>
    </w:p>
    <w:p w14:paraId="2F9148EF" w14:textId="77777777" w:rsidR="00322A62" w:rsidRDefault="00110BAC">
      <w:pPr>
        <w:shd w:val="clear" w:color="auto" w:fill="FFFFFF"/>
        <w:spacing w:after="0" w:line="259" w:lineRule="auto"/>
        <w:jc w:val="center"/>
        <w:rPr>
          <w:rFonts w:ascii="Roboto" w:eastAsia="Roboto" w:hAnsi="Roboto" w:cs="Roboto"/>
          <w:b/>
          <w:color w:val="333333"/>
          <w:sz w:val="34"/>
          <w:szCs w:val="34"/>
        </w:rPr>
      </w:pPr>
      <w:r>
        <w:rPr>
          <w:rFonts w:ascii="Roboto" w:eastAsia="Roboto" w:hAnsi="Roboto" w:cs="Roboto"/>
          <w:b/>
          <w:sz w:val="34"/>
          <w:szCs w:val="34"/>
        </w:rPr>
        <w:t xml:space="preserve">ENAC acreditará </w:t>
      </w:r>
      <w:r>
        <w:rPr>
          <w:rFonts w:ascii="Roboto" w:eastAsia="Roboto" w:hAnsi="Roboto" w:cs="Roboto"/>
          <w:b/>
          <w:color w:val="333333"/>
          <w:sz w:val="34"/>
          <w:szCs w:val="34"/>
        </w:rPr>
        <w:t>la certificación de los auditores de los distintos esquemas de seguridad alimentaria de GFSI</w:t>
      </w:r>
    </w:p>
    <w:p w14:paraId="2F9148F0" w14:textId="77777777" w:rsidR="00322A62" w:rsidRDefault="00322A62">
      <w:pPr>
        <w:shd w:val="clear" w:color="auto" w:fill="FFFFFF"/>
        <w:spacing w:after="0" w:line="259" w:lineRule="auto"/>
        <w:jc w:val="center"/>
        <w:rPr>
          <w:rFonts w:ascii="Roboto" w:eastAsia="Roboto" w:hAnsi="Roboto" w:cs="Roboto"/>
          <w:b/>
          <w:sz w:val="38"/>
          <w:szCs w:val="38"/>
        </w:rPr>
      </w:pPr>
    </w:p>
    <w:p w14:paraId="2F9148F1" w14:textId="77777777" w:rsidR="00322A62" w:rsidRDefault="00110BAC">
      <w:pPr>
        <w:numPr>
          <w:ilvl w:val="0"/>
          <w:numId w:val="1"/>
        </w:numPr>
        <w:shd w:val="clear" w:color="auto" w:fill="FFFFFF"/>
        <w:spacing w:after="0" w:line="259" w:lineRule="auto"/>
        <w:jc w:val="both"/>
        <w:rPr>
          <w:rFonts w:ascii="Roboto" w:eastAsia="Roboto" w:hAnsi="Roboto" w:cs="Roboto"/>
          <w:b/>
          <w:sz w:val="20"/>
          <w:szCs w:val="20"/>
        </w:rPr>
      </w:pPr>
      <w:r>
        <w:rPr>
          <w:rFonts w:ascii="Roboto" w:eastAsia="Roboto" w:hAnsi="Roboto" w:cs="Roboto"/>
          <w:b/>
          <w:sz w:val="20"/>
          <w:szCs w:val="20"/>
        </w:rPr>
        <w:t>The Global Food Safety Initiative (GFSI)</w:t>
      </w:r>
      <w:r>
        <w:rPr>
          <w:rFonts w:ascii="Roboto" w:eastAsia="Roboto" w:hAnsi="Roboto" w:cs="Roboto"/>
          <w:b/>
          <w:color w:val="333333"/>
          <w:sz w:val="20"/>
          <w:szCs w:val="20"/>
        </w:rPr>
        <w:t xml:space="preserve"> </w:t>
      </w:r>
      <w:r>
        <w:rPr>
          <w:rFonts w:ascii="Roboto" w:eastAsia="Roboto" w:hAnsi="Roboto" w:cs="Roboto"/>
          <w:b/>
          <w:sz w:val="20"/>
          <w:szCs w:val="20"/>
        </w:rPr>
        <w:t xml:space="preserve">exige que los auditores que trabajan en los esquemas que cuentan con su reconocimiento dispongan de certificación acreditada </w:t>
      </w:r>
    </w:p>
    <w:p w14:paraId="2F9148F2" w14:textId="77777777" w:rsidR="00322A62" w:rsidRDefault="00322A62">
      <w:pPr>
        <w:shd w:val="clear" w:color="auto" w:fill="FFFFFF"/>
        <w:spacing w:after="0" w:line="259" w:lineRule="auto"/>
        <w:jc w:val="both"/>
        <w:rPr>
          <w:rFonts w:ascii="Roboto" w:eastAsia="Roboto" w:hAnsi="Roboto" w:cs="Roboto"/>
          <w:b/>
          <w:sz w:val="20"/>
          <w:szCs w:val="20"/>
        </w:rPr>
      </w:pPr>
    </w:p>
    <w:p w14:paraId="2F9148F3" w14:textId="77777777" w:rsidR="00322A62" w:rsidRDefault="00110BAC">
      <w:pPr>
        <w:numPr>
          <w:ilvl w:val="0"/>
          <w:numId w:val="1"/>
        </w:numPr>
        <w:shd w:val="clear" w:color="auto" w:fill="FFFFFF"/>
        <w:spacing w:after="160" w:line="259" w:lineRule="auto"/>
        <w:jc w:val="both"/>
        <w:rPr>
          <w:rFonts w:ascii="Roboto" w:eastAsia="Roboto" w:hAnsi="Roboto" w:cs="Roboto"/>
          <w:b/>
          <w:color w:val="333333"/>
          <w:sz w:val="20"/>
          <w:szCs w:val="20"/>
        </w:rPr>
      </w:pPr>
      <w:r>
        <w:rPr>
          <w:rFonts w:ascii="Roboto" w:eastAsia="Roboto" w:hAnsi="Roboto" w:cs="Roboto"/>
          <w:b/>
          <w:sz w:val="20"/>
          <w:szCs w:val="20"/>
        </w:rPr>
        <w:t>El programa de excelencia</w:t>
      </w:r>
      <w:r w:rsidRPr="00110BAC">
        <w:rPr>
          <w:rFonts w:ascii="Roboto" w:eastAsia="Roboto" w:hAnsi="Roboto" w:cs="Roboto"/>
          <w:b/>
          <w:sz w:val="20"/>
          <w:szCs w:val="20"/>
        </w:rPr>
        <w:t xml:space="preserve"> “Race to the top” </w:t>
      </w:r>
      <w:r>
        <w:rPr>
          <w:rFonts w:ascii="Roboto" w:eastAsia="Roboto" w:hAnsi="Roboto" w:cs="Roboto"/>
          <w:b/>
          <w:sz w:val="20"/>
          <w:szCs w:val="20"/>
        </w:rPr>
        <w:t>de GFSI contempla la necesidad de que la competencia transversal de los auditores de los distintos esquemas de certificación de seguridad alimentaria reconocidos sea verificada de manera única e independiente</w:t>
      </w:r>
    </w:p>
    <w:p w14:paraId="2F9148F4" w14:textId="77777777" w:rsidR="00322A62" w:rsidRDefault="00322A62">
      <w:pPr>
        <w:spacing w:after="0" w:line="259" w:lineRule="auto"/>
        <w:ind w:left="720"/>
        <w:rPr>
          <w:rFonts w:ascii="Roboto" w:eastAsia="Roboto" w:hAnsi="Roboto" w:cs="Roboto"/>
        </w:rPr>
      </w:pPr>
    </w:p>
    <w:p w14:paraId="2F9148F5" w14:textId="4D8F94B3" w:rsidR="00322A62" w:rsidRDefault="00110BAC" w:rsidP="70D4ED62">
      <w:pPr>
        <w:shd w:val="clear" w:color="auto" w:fill="FFFFFF" w:themeFill="background1"/>
        <w:spacing w:after="0" w:line="259" w:lineRule="auto"/>
        <w:jc w:val="both"/>
        <w:rPr>
          <w:rFonts w:ascii="Roboto" w:eastAsia="Roboto" w:hAnsi="Roboto" w:cs="Roboto"/>
          <w:sz w:val="21"/>
          <w:szCs w:val="21"/>
        </w:rPr>
      </w:pPr>
      <w:r w:rsidRPr="70D4ED62">
        <w:rPr>
          <w:rFonts w:ascii="Roboto" w:eastAsia="Roboto" w:hAnsi="Roboto" w:cs="Roboto"/>
        </w:rPr>
        <w:t xml:space="preserve">Madrid, 23 de marzo de 2022.- </w:t>
      </w:r>
      <w:hyperlink r:id="rId10">
        <w:r w:rsidRPr="70D4ED62">
          <w:rPr>
            <w:rFonts w:ascii="Roboto" w:eastAsia="Roboto" w:hAnsi="Roboto" w:cs="Roboto"/>
            <w:color w:val="D91D24"/>
            <w:sz w:val="21"/>
            <w:szCs w:val="21"/>
            <w:u w:val="single"/>
          </w:rPr>
          <w:t>The Global Food Safety Initiative (GFSI)</w:t>
        </w:r>
      </w:hyperlink>
      <w:r w:rsidRPr="70D4ED62">
        <w:rPr>
          <w:rFonts w:ascii="Roboto" w:eastAsia="Roboto" w:hAnsi="Roboto" w:cs="Roboto"/>
          <w:color w:val="333333"/>
          <w:sz w:val="21"/>
          <w:szCs w:val="21"/>
        </w:rPr>
        <w:t xml:space="preserve">, </w:t>
      </w:r>
      <w:r w:rsidRPr="70D4ED62">
        <w:rPr>
          <w:rFonts w:ascii="Roboto" w:eastAsia="Roboto" w:hAnsi="Roboto" w:cs="Roboto"/>
          <w:sz w:val="21"/>
          <w:szCs w:val="21"/>
        </w:rPr>
        <w:t xml:space="preserve">organización internacional de seguridad alimentaria que reúne empresas de toda la cadena de suministros del sector agroalimentario, ha establecido </w:t>
      </w:r>
      <w:r w:rsidRPr="70D4ED62">
        <w:rPr>
          <w:rFonts w:ascii="Roboto" w:eastAsia="Roboto" w:hAnsi="Roboto" w:cs="Roboto"/>
          <w:b/>
          <w:bCs/>
          <w:sz w:val="21"/>
          <w:szCs w:val="21"/>
        </w:rPr>
        <w:t>la exigencia de que los auditores que trabajan en los esquemas de certificación que cuentan con su reconocimiento</w:t>
      </w:r>
      <w:r w:rsidRPr="70D4ED62">
        <w:rPr>
          <w:rFonts w:ascii="Roboto" w:eastAsia="Roboto" w:hAnsi="Roboto" w:cs="Roboto"/>
          <w:sz w:val="21"/>
          <w:szCs w:val="21"/>
        </w:rPr>
        <w:t xml:space="preserve">, entre los que se encuentran BRC, IFS, GlobalG.A.P. o FSSC 22000, </w:t>
      </w:r>
      <w:r w:rsidRPr="70D4ED62">
        <w:rPr>
          <w:rFonts w:ascii="Roboto" w:eastAsia="Roboto" w:hAnsi="Roboto" w:cs="Roboto"/>
          <w:b/>
          <w:bCs/>
          <w:sz w:val="21"/>
          <w:szCs w:val="21"/>
        </w:rPr>
        <w:t>dispongan de una certificación acreditada de acuerdo a los requisitos establecidos por la propia GFSI</w:t>
      </w:r>
      <w:r w:rsidRPr="70D4ED62">
        <w:rPr>
          <w:rFonts w:ascii="Roboto" w:eastAsia="Roboto" w:hAnsi="Roboto" w:cs="Roboto"/>
          <w:sz w:val="21"/>
          <w:szCs w:val="21"/>
        </w:rPr>
        <w:t xml:space="preserve">. En el caso de España, </w:t>
      </w:r>
      <w:r w:rsidRPr="70D4ED62">
        <w:rPr>
          <w:rFonts w:ascii="Roboto" w:eastAsia="Roboto" w:hAnsi="Roboto" w:cs="Roboto"/>
          <w:b/>
          <w:bCs/>
          <w:sz w:val="21"/>
          <w:szCs w:val="21"/>
        </w:rPr>
        <w:t>será ENAC</w:t>
      </w:r>
      <w:r w:rsidRPr="70D4ED62">
        <w:rPr>
          <w:rFonts w:ascii="Roboto" w:eastAsia="Roboto" w:hAnsi="Roboto" w:cs="Roboto"/>
          <w:sz w:val="21"/>
          <w:szCs w:val="21"/>
        </w:rPr>
        <w:t xml:space="preserve">, la </w:t>
      </w:r>
      <w:hyperlink r:id="rId11" w:history="1">
        <w:r w:rsidRPr="70D4ED62">
          <w:rPr>
            <w:rFonts w:ascii="Roboto" w:eastAsia="Roboto" w:hAnsi="Roboto" w:cs="Roboto"/>
            <w:sz w:val="21"/>
            <w:szCs w:val="21"/>
          </w:rPr>
          <w:t>Entidad Nacional de Acreditación</w:t>
        </w:r>
      </w:hyperlink>
      <w:r w:rsidRPr="70D4ED62">
        <w:rPr>
          <w:rFonts w:ascii="Roboto" w:eastAsia="Roboto" w:hAnsi="Roboto" w:cs="Roboto"/>
          <w:sz w:val="21"/>
          <w:szCs w:val="21"/>
        </w:rPr>
        <w:t xml:space="preserve">, </w:t>
      </w:r>
      <w:r w:rsidRPr="70D4ED62">
        <w:rPr>
          <w:rFonts w:ascii="Roboto" w:eastAsia="Roboto" w:hAnsi="Roboto" w:cs="Roboto"/>
          <w:b/>
          <w:bCs/>
          <w:sz w:val="21"/>
          <w:szCs w:val="21"/>
        </w:rPr>
        <w:t>la que acredite a las entidades que certifican esquemas reconocidos por dicha organización internacional</w:t>
      </w:r>
      <w:r w:rsidRPr="70D4ED62">
        <w:rPr>
          <w:rFonts w:ascii="Roboto" w:eastAsia="Roboto" w:hAnsi="Roboto" w:cs="Roboto"/>
          <w:sz w:val="21"/>
          <w:szCs w:val="21"/>
        </w:rPr>
        <w:t xml:space="preserve">. </w:t>
      </w:r>
    </w:p>
    <w:p w14:paraId="2F9148F6" w14:textId="77777777" w:rsidR="00322A62" w:rsidRDefault="00322A62">
      <w:pPr>
        <w:shd w:val="clear" w:color="auto" w:fill="FFFFFF"/>
        <w:spacing w:after="0" w:line="259" w:lineRule="auto"/>
        <w:jc w:val="both"/>
        <w:rPr>
          <w:rFonts w:ascii="Roboto" w:eastAsia="Roboto" w:hAnsi="Roboto" w:cs="Roboto"/>
          <w:sz w:val="21"/>
          <w:szCs w:val="21"/>
        </w:rPr>
      </w:pPr>
    </w:p>
    <w:p w14:paraId="2F9148F7" w14:textId="77777777" w:rsidR="00322A62" w:rsidRPr="007B1541" w:rsidRDefault="00110BAC" w:rsidP="70D4ED62">
      <w:pPr>
        <w:shd w:val="clear" w:color="auto" w:fill="FFFFFF" w:themeFill="background1"/>
        <w:spacing w:after="160" w:line="259" w:lineRule="auto"/>
        <w:jc w:val="both"/>
        <w:rPr>
          <w:rFonts w:ascii="Roboto" w:eastAsia="Roboto" w:hAnsi="Roboto" w:cs="Roboto"/>
          <w:b/>
          <w:bCs/>
          <w:sz w:val="21"/>
          <w:szCs w:val="21"/>
        </w:rPr>
      </w:pPr>
      <w:r w:rsidRPr="70D4ED62">
        <w:rPr>
          <w:rFonts w:ascii="Roboto" w:eastAsia="Roboto" w:hAnsi="Roboto" w:cs="Roboto"/>
          <w:sz w:val="21"/>
          <w:szCs w:val="21"/>
        </w:rPr>
        <w:t>En concreto, el reconocimiento de la certificación acreditada de auditores forma parte del programa de excelencia</w:t>
      </w:r>
      <w:r w:rsidRPr="70D4ED62">
        <w:rPr>
          <w:rFonts w:ascii="Roboto" w:eastAsia="Roboto" w:hAnsi="Roboto" w:cs="Roboto"/>
          <w:color w:val="333333"/>
          <w:sz w:val="21"/>
          <w:szCs w:val="21"/>
        </w:rPr>
        <w:t xml:space="preserve"> </w:t>
      </w:r>
      <w:hyperlink r:id="rId12">
        <w:r w:rsidRPr="70D4ED62">
          <w:rPr>
            <w:rFonts w:ascii="Roboto" w:eastAsia="Roboto" w:hAnsi="Roboto" w:cs="Roboto"/>
            <w:color w:val="D91D24"/>
            <w:sz w:val="21"/>
            <w:szCs w:val="21"/>
            <w:u w:val="single"/>
          </w:rPr>
          <w:t>“Race to the top”</w:t>
        </w:r>
      </w:hyperlink>
      <w:r w:rsidRPr="70D4ED62">
        <w:rPr>
          <w:rFonts w:ascii="Roboto" w:eastAsia="Roboto" w:hAnsi="Roboto" w:cs="Roboto"/>
          <w:color w:val="333333"/>
          <w:sz w:val="21"/>
          <w:szCs w:val="21"/>
        </w:rPr>
        <w:t xml:space="preserve"> </w:t>
      </w:r>
      <w:r w:rsidRPr="70D4ED62">
        <w:rPr>
          <w:rFonts w:ascii="Roboto" w:eastAsia="Roboto" w:hAnsi="Roboto" w:cs="Roboto"/>
          <w:sz w:val="21"/>
          <w:szCs w:val="21"/>
        </w:rPr>
        <w:t>de GFSI, que contempla la necesidad de que</w:t>
      </w:r>
      <w:r w:rsidRPr="70D4ED62">
        <w:rPr>
          <w:rFonts w:ascii="Roboto" w:eastAsia="Roboto" w:hAnsi="Roboto" w:cs="Roboto"/>
          <w:b/>
          <w:bCs/>
          <w:sz w:val="21"/>
          <w:szCs w:val="21"/>
        </w:rPr>
        <w:t xml:space="preserve"> la competencia transversal de los auditores </w:t>
      </w:r>
      <w:r w:rsidRPr="70D4ED62">
        <w:rPr>
          <w:rFonts w:ascii="Roboto" w:eastAsia="Roboto" w:hAnsi="Roboto" w:cs="Roboto"/>
          <w:sz w:val="21"/>
          <w:szCs w:val="21"/>
        </w:rPr>
        <w:t>de los distintos esquemas de certificación de seguridad alimentaria reconocidos</w:t>
      </w:r>
      <w:r w:rsidRPr="70D4ED62">
        <w:rPr>
          <w:rFonts w:ascii="Roboto" w:eastAsia="Roboto" w:hAnsi="Roboto" w:cs="Roboto"/>
          <w:b/>
          <w:bCs/>
          <w:sz w:val="21"/>
          <w:szCs w:val="21"/>
        </w:rPr>
        <w:t xml:space="preserve"> sea verificada de manera única e independiente.</w:t>
      </w:r>
      <w:r w:rsidRPr="70D4ED62">
        <w:rPr>
          <w:rFonts w:ascii="Roboto" w:eastAsia="Roboto" w:hAnsi="Roboto" w:cs="Roboto"/>
          <w:sz w:val="21"/>
          <w:szCs w:val="21"/>
        </w:rPr>
        <w:t xml:space="preserve"> Es por ello que, en diciembre de 2021, la organización acordó exigir que sus auditores estuvieran certificados por una entidad de </w:t>
      </w:r>
      <w:r w:rsidRPr="70D4ED62">
        <w:rPr>
          <w:rFonts w:ascii="Roboto" w:eastAsia="Roboto" w:hAnsi="Roboto" w:cs="Roboto"/>
          <w:b/>
          <w:bCs/>
          <w:sz w:val="21"/>
          <w:szCs w:val="21"/>
        </w:rPr>
        <w:t>certificación acreditada por un organismo nacional de acreditación firmante del acuerdo de reconocimiento sobre certificación de personas elaborado por la organización internacional de acreditadores IAF, ENAC en el caso de España.</w:t>
      </w:r>
    </w:p>
    <w:p w14:paraId="2F9148F8" w14:textId="77777777" w:rsidR="00322A62" w:rsidRDefault="00110BAC">
      <w:pPr>
        <w:shd w:val="clear" w:color="auto" w:fill="FFFFFF"/>
        <w:spacing w:after="160" w:line="259" w:lineRule="auto"/>
        <w:jc w:val="both"/>
        <w:rPr>
          <w:rFonts w:ascii="Roboto" w:eastAsia="Roboto" w:hAnsi="Roboto" w:cs="Roboto"/>
          <w:sz w:val="21"/>
          <w:szCs w:val="21"/>
        </w:rPr>
      </w:pPr>
      <w:r>
        <w:rPr>
          <w:rFonts w:ascii="Roboto" w:eastAsia="Roboto" w:hAnsi="Roboto" w:cs="Roboto"/>
          <w:sz w:val="21"/>
          <w:szCs w:val="21"/>
        </w:rPr>
        <w:t>Por tanto, los distintos esquemas de certificación de seguridad alimentaria que deseen ser respaldados por GFSI tendrán que incluir el requisito de utilizar auditores certificados de manera acreditada. La certificación cubrirá la competencia básica, común y transversal como auditor de seguridad alimentaria, quedando la evaluación de requisitos propios de cada esquema para el certificador que emplee al auditor. GFSI ha establecido un</w:t>
      </w:r>
      <w:r>
        <w:rPr>
          <w:rFonts w:ascii="Roboto" w:eastAsia="Roboto" w:hAnsi="Roboto" w:cs="Roboto"/>
          <w:b/>
          <w:sz w:val="21"/>
          <w:szCs w:val="21"/>
        </w:rPr>
        <w:t xml:space="preserve"> periodo transitorio de tres años para los esquemas ya reconocidos en la actualidad</w:t>
      </w:r>
      <w:r>
        <w:rPr>
          <w:rFonts w:ascii="Roboto" w:eastAsia="Roboto" w:hAnsi="Roboto" w:cs="Roboto"/>
          <w:sz w:val="21"/>
          <w:szCs w:val="21"/>
        </w:rPr>
        <w:t>.</w:t>
      </w:r>
    </w:p>
    <w:p w14:paraId="2F9148F9" w14:textId="215C26F1" w:rsidR="00322A62" w:rsidRDefault="00110BAC">
      <w:pPr>
        <w:shd w:val="clear" w:color="auto" w:fill="FFFFFF"/>
        <w:spacing w:after="160" w:line="259" w:lineRule="auto"/>
        <w:jc w:val="both"/>
        <w:rPr>
          <w:rFonts w:ascii="Roboto" w:eastAsia="Roboto" w:hAnsi="Roboto" w:cs="Roboto"/>
          <w:sz w:val="21"/>
          <w:szCs w:val="21"/>
        </w:rPr>
      </w:pPr>
      <w:r>
        <w:rPr>
          <w:rFonts w:ascii="Roboto" w:eastAsia="Roboto" w:hAnsi="Roboto" w:cs="Roboto"/>
          <w:sz w:val="21"/>
          <w:szCs w:val="21"/>
        </w:rPr>
        <w:t>Actualmente, son 22 las acreditaciones concedidas por ENAC a entidades que certifican esquemas reconocidos por GFSI. Estas entidades certifican la seguridad alimentaria a industrias agroalimentarias, operadores agrícolas y ganaderos.</w:t>
      </w:r>
    </w:p>
    <w:p w14:paraId="2F9148FA" w14:textId="0C93EA03" w:rsidR="00322A62" w:rsidRDefault="00322A62">
      <w:pPr>
        <w:shd w:val="clear" w:color="auto" w:fill="FFFFFF"/>
        <w:spacing w:after="160" w:line="259" w:lineRule="auto"/>
        <w:jc w:val="both"/>
        <w:rPr>
          <w:rFonts w:ascii="Roboto" w:eastAsia="Roboto" w:hAnsi="Roboto" w:cs="Roboto"/>
          <w:sz w:val="21"/>
          <w:szCs w:val="21"/>
        </w:rPr>
      </w:pPr>
    </w:p>
    <w:p w14:paraId="2F9148FB" w14:textId="77777777" w:rsidR="00322A62" w:rsidRDefault="00110BAC">
      <w:pPr>
        <w:shd w:val="clear" w:color="auto" w:fill="FFFFFF"/>
        <w:spacing w:after="160" w:line="259" w:lineRule="auto"/>
        <w:jc w:val="both"/>
        <w:rPr>
          <w:rFonts w:ascii="Roboto" w:eastAsia="Roboto" w:hAnsi="Roboto" w:cs="Roboto"/>
          <w:b/>
        </w:rPr>
      </w:pPr>
      <w:r>
        <w:rPr>
          <w:rFonts w:ascii="Roboto" w:eastAsia="Roboto" w:hAnsi="Roboto" w:cs="Roboto"/>
          <w:b/>
        </w:rPr>
        <w:t>GFSI, por la mejora continua de los sistemas seguridad alimentaria</w:t>
      </w:r>
    </w:p>
    <w:p w14:paraId="2F9148FC" w14:textId="77777777" w:rsidR="00322A62" w:rsidRDefault="00110BAC">
      <w:pPr>
        <w:shd w:val="clear" w:color="auto" w:fill="FFFFFF"/>
        <w:spacing w:after="160" w:line="259" w:lineRule="auto"/>
        <w:jc w:val="both"/>
        <w:rPr>
          <w:rFonts w:ascii="Roboto" w:eastAsia="Roboto" w:hAnsi="Roboto" w:cs="Roboto"/>
        </w:rPr>
      </w:pPr>
      <w:r>
        <w:rPr>
          <w:rFonts w:ascii="Roboto" w:eastAsia="Roboto" w:hAnsi="Roboto" w:cs="Roboto"/>
        </w:rPr>
        <w:t xml:space="preserve">The Global Food Safety Initiative reúne a grandes distribuidores y fabricantes de bienes de consumo y partes interesadas a nivel mundial con el objetivo de garantizar la confianza del consumidor supervisando las normas de seguridad alimentaria para las </w:t>
      </w:r>
      <w:r>
        <w:rPr>
          <w:rFonts w:ascii="Roboto" w:eastAsia="Roboto" w:hAnsi="Roboto" w:cs="Roboto"/>
        </w:rPr>
        <w:lastRenderedPageBreak/>
        <w:t>empresas y ayudando a proporcionar acceso a alimentos seguros para las personas en todo el mundo.</w:t>
      </w:r>
    </w:p>
    <w:p w14:paraId="2F9148FD" w14:textId="77777777" w:rsidR="00322A62" w:rsidRDefault="00110BAC">
      <w:pPr>
        <w:shd w:val="clear" w:color="auto" w:fill="FFFFFF"/>
        <w:spacing w:after="160" w:line="259" w:lineRule="auto"/>
        <w:jc w:val="both"/>
        <w:rPr>
          <w:rFonts w:ascii="Roboto" w:eastAsia="Roboto" w:hAnsi="Roboto" w:cs="Roboto"/>
        </w:rPr>
      </w:pPr>
      <w:r>
        <w:rPr>
          <w:rFonts w:ascii="Roboto" w:eastAsia="Roboto" w:hAnsi="Roboto" w:cs="Roboto"/>
        </w:rPr>
        <w:t>El objetivo de GFSI es asegurar la protección del consumidor y fortalecer su confianza, y, es por ello que establece requisitos para reconocer, a escala mundial, esquemas de certificación voluntaria relativos a seguridad alimentaria, como BRC (British Retail Consortium), IFS, GlobalG.A.P. o FSSC 22000, basados en diferentes normas.</w:t>
      </w:r>
    </w:p>
    <w:p w14:paraId="2F9148FE" w14:textId="77777777" w:rsidR="00322A62" w:rsidRDefault="00322A62">
      <w:pPr>
        <w:shd w:val="clear" w:color="auto" w:fill="FFFFFF"/>
        <w:spacing w:after="0" w:line="259" w:lineRule="auto"/>
        <w:jc w:val="both"/>
        <w:rPr>
          <w:rFonts w:ascii="Roboto" w:eastAsia="Roboto" w:hAnsi="Roboto" w:cs="Roboto"/>
        </w:rPr>
      </w:pPr>
    </w:p>
    <w:p w14:paraId="2F9148FF" w14:textId="77777777" w:rsidR="00322A62" w:rsidRDefault="00322A62">
      <w:pPr>
        <w:jc w:val="both"/>
        <w:rPr>
          <w:rFonts w:ascii="Roboto" w:eastAsia="Roboto" w:hAnsi="Roboto" w:cs="Roboto"/>
          <w:b/>
          <w:color w:val="E83544"/>
        </w:rPr>
      </w:pPr>
    </w:p>
    <w:p w14:paraId="2F914900" w14:textId="77777777" w:rsidR="00322A62" w:rsidRDefault="00110BAC">
      <w:pPr>
        <w:jc w:val="both"/>
        <w:rPr>
          <w:rFonts w:ascii="Roboto" w:eastAsia="Roboto" w:hAnsi="Roboto" w:cs="Roboto"/>
          <w:b/>
          <w:color w:val="E83544"/>
        </w:rPr>
      </w:pPr>
      <w:r>
        <w:rPr>
          <w:rFonts w:ascii="Roboto" w:eastAsia="Roboto" w:hAnsi="Roboto" w:cs="Roboto"/>
          <w:b/>
          <w:color w:val="E83544"/>
        </w:rPr>
        <w:t>Sobre ENAC</w:t>
      </w:r>
    </w:p>
    <w:p w14:paraId="2F914901" w14:textId="6B1976B1" w:rsidR="00322A62" w:rsidRDefault="00110BAC">
      <w:pPr>
        <w:spacing w:after="0" w:line="240" w:lineRule="auto"/>
        <w:jc w:val="both"/>
        <w:rPr>
          <w:rFonts w:ascii="Roboto" w:eastAsia="Roboto" w:hAnsi="Roboto" w:cs="Roboto"/>
        </w:rPr>
      </w:pPr>
      <w:r>
        <w:rPr>
          <w:rFonts w:ascii="Roboto" w:eastAsia="Roboto" w:hAnsi="Roboto" w:cs="Roboto"/>
        </w:rPr>
        <w:t>La Entidad Nacional de Acreditación – ENAC – es la entidad designada por el Gobierno para operar en España como el único Organismo Nacional de Acreditación, en aplicación del Reglamento (CE) nº765/2008 del Parlamento Europeo que regula el funcionamiento de la acreditación en Europa.</w:t>
      </w:r>
    </w:p>
    <w:p w14:paraId="2F914902" w14:textId="77777777" w:rsidR="00322A62" w:rsidRDefault="00110BAC">
      <w:pPr>
        <w:spacing w:after="0" w:line="240" w:lineRule="auto"/>
        <w:jc w:val="both"/>
        <w:rPr>
          <w:rFonts w:ascii="Roboto" w:eastAsia="Roboto" w:hAnsi="Roboto" w:cs="Roboto"/>
        </w:rPr>
      </w:pPr>
      <w:r>
        <w:rPr>
          <w:rFonts w:ascii="Roboto" w:eastAsia="Roboto" w:hAnsi="Roboto" w:cs="Roboto"/>
          <w:color w:val="1F497D"/>
        </w:rPr>
        <w:t> </w:t>
      </w:r>
    </w:p>
    <w:p w14:paraId="2F914903" w14:textId="77777777" w:rsidR="00322A62" w:rsidRDefault="00110BAC">
      <w:pPr>
        <w:spacing w:after="0" w:line="240" w:lineRule="auto"/>
        <w:jc w:val="both"/>
        <w:rPr>
          <w:rFonts w:ascii="Roboto" w:eastAsia="Roboto" w:hAnsi="Roboto" w:cs="Roboto"/>
        </w:rPr>
      </w:pPr>
      <w:r>
        <w:rPr>
          <w:rFonts w:ascii="Roboto" w:eastAsia="Roboto" w:hAnsi="Roboto" w:cs="Roboto"/>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2F914904" w14:textId="77777777" w:rsidR="00322A62" w:rsidRDefault="00110BAC">
      <w:pPr>
        <w:spacing w:after="0" w:line="240" w:lineRule="auto"/>
        <w:jc w:val="both"/>
        <w:rPr>
          <w:rFonts w:ascii="Roboto" w:eastAsia="Roboto" w:hAnsi="Roboto" w:cs="Roboto"/>
        </w:rPr>
      </w:pPr>
      <w:r>
        <w:rPr>
          <w:rFonts w:ascii="Roboto" w:eastAsia="Roboto" w:hAnsi="Roboto" w:cs="Roboto"/>
        </w:rPr>
        <w:t> </w:t>
      </w:r>
    </w:p>
    <w:p w14:paraId="2F914905" w14:textId="77777777" w:rsidR="00322A62" w:rsidRDefault="00110BAC">
      <w:pPr>
        <w:spacing w:after="0" w:line="240" w:lineRule="auto"/>
        <w:jc w:val="both"/>
        <w:rPr>
          <w:rFonts w:ascii="Roboto" w:eastAsia="Roboto" w:hAnsi="Roboto" w:cs="Roboto"/>
        </w:rPr>
      </w:pPr>
      <w:r>
        <w:rPr>
          <w:rFonts w:ascii="Roboto" w:eastAsia="Roboto" w:hAnsi="Roboto" w:cs="Roboto"/>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2F914906" w14:textId="77777777" w:rsidR="00322A62" w:rsidRDefault="00322A62">
      <w:pPr>
        <w:spacing w:after="0" w:line="240" w:lineRule="auto"/>
        <w:jc w:val="both"/>
        <w:rPr>
          <w:rFonts w:ascii="Roboto" w:eastAsia="Roboto" w:hAnsi="Roboto" w:cs="Roboto"/>
          <w:sz w:val="20"/>
          <w:szCs w:val="20"/>
        </w:rPr>
      </w:pPr>
    </w:p>
    <w:p w14:paraId="2F914907" w14:textId="77777777" w:rsidR="00322A62" w:rsidRDefault="00322A62">
      <w:pPr>
        <w:spacing w:after="0" w:line="240" w:lineRule="auto"/>
        <w:jc w:val="both"/>
        <w:rPr>
          <w:rFonts w:ascii="Roboto" w:eastAsia="Roboto" w:hAnsi="Roboto" w:cs="Roboto"/>
          <w:sz w:val="20"/>
          <w:szCs w:val="20"/>
        </w:rPr>
      </w:pPr>
    </w:p>
    <w:p w14:paraId="2F914908" w14:textId="77777777" w:rsidR="00322A62" w:rsidRDefault="00A64E29">
      <w:pPr>
        <w:pBdr>
          <w:bottom w:val="single" w:sz="12" w:space="1" w:color="000000"/>
        </w:pBdr>
        <w:spacing w:after="0" w:line="240" w:lineRule="auto"/>
        <w:jc w:val="both"/>
        <w:rPr>
          <w:rFonts w:ascii="Roboto" w:eastAsia="Roboto" w:hAnsi="Roboto" w:cs="Roboto"/>
          <w:color w:val="E83544"/>
          <w:sz w:val="20"/>
          <w:szCs w:val="20"/>
        </w:rPr>
      </w:pPr>
      <w:hyperlink r:id="rId13">
        <w:r w:rsidR="00110BAC">
          <w:rPr>
            <w:rFonts w:ascii="Roboto" w:eastAsia="Roboto" w:hAnsi="Roboto" w:cs="Roboto"/>
            <w:color w:val="E83544"/>
            <w:sz w:val="20"/>
            <w:szCs w:val="20"/>
            <w:u w:val="single"/>
          </w:rPr>
          <w:t>www.enac.es</w:t>
        </w:r>
      </w:hyperlink>
      <w:r w:rsidR="00110BAC">
        <w:rPr>
          <w:rFonts w:ascii="Roboto" w:eastAsia="Roboto" w:hAnsi="Roboto" w:cs="Roboto"/>
          <w:color w:val="E83544"/>
          <w:sz w:val="20"/>
          <w:szCs w:val="20"/>
        </w:rPr>
        <w:t xml:space="preserve"> </w:t>
      </w:r>
    </w:p>
    <w:p w14:paraId="2F914909" w14:textId="77777777" w:rsidR="00322A62" w:rsidRDefault="00322A62">
      <w:pPr>
        <w:pBdr>
          <w:bottom w:val="single" w:sz="12" w:space="1" w:color="000000"/>
        </w:pBdr>
        <w:spacing w:after="0" w:line="240" w:lineRule="auto"/>
        <w:jc w:val="both"/>
        <w:rPr>
          <w:rFonts w:ascii="Roboto" w:eastAsia="Roboto" w:hAnsi="Roboto" w:cs="Roboto"/>
          <w:color w:val="E83544"/>
          <w:sz w:val="20"/>
          <w:szCs w:val="20"/>
        </w:rPr>
      </w:pPr>
    </w:p>
    <w:p w14:paraId="2F91490A" w14:textId="77777777" w:rsidR="00322A62" w:rsidRDefault="00110BAC">
      <w:pPr>
        <w:pBdr>
          <w:bottom w:val="single" w:sz="12" w:space="1" w:color="000000"/>
        </w:pBdr>
        <w:spacing w:after="0" w:line="240" w:lineRule="auto"/>
        <w:jc w:val="both"/>
        <w:rPr>
          <w:rFonts w:ascii="Roboto" w:eastAsia="Roboto" w:hAnsi="Roboto" w:cs="Roboto"/>
          <w:sz w:val="20"/>
          <w:szCs w:val="20"/>
        </w:rPr>
      </w:pPr>
      <w:r>
        <w:rPr>
          <w:rFonts w:ascii="Roboto" w:eastAsia="Roboto" w:hAnsi="Roboto" w:cs="Roboto"/>
          <w:color w:val="0000FF"/>
          <w:sz w:val="20"/>
          <w:szCs w:val="20"/>
        </w:rPr>
        <w:t xml:space="preserve"> </w:t>
      </w:r>
      <w:r>
        <w:rPr>
          <w:rFonts w:ascii="Roboto" w:eastAsia="Roboto" w:hAnsi="Roboto" w:cs="Roboto"/>
          <w:noProof/>
          <w:color w:val="0000FF"/>
          <w:sz w:val="20"/>
          <w:szCs w:val="20"/>
        </w:rPr>
        <w:drawing>
          <wp:inline distT="0" distB="0" distL="0" distR="0" wp14:anchorId="2F914912" wp14:editId="2F914913">
            <wp:extent cx="304800" cy="304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FF"/>
          <w:sz w:val="20"/>
          <w:szCs w:val="20"/>
        </w:rPr>
        <w:t xml:space="preserve">  </w:t>
      </w:r>
      <w:r>
        <w:rPr>
          <w:rFonts w:ascii="Roboto" w:eastAsia="Roboto" w:hAnsi="Roboto" w:cs="Roboto"/>
          <w:noProof/>
          <w:color w:val="0000FF"/>
          <w:sz w:val="20"/>
          <w:szCs w:val="20"/>
        </w:rPr>
        <w:drawing>
          <wp:inline distT="0" distB="0" distL="0" distR="0" wp14:anchorId="2F914914" wp14:editId="2F914915">
            <wp:extent cx="304800" cy="304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04800" cy="304800"/>
                    </a:xfrm>
                    <a:prstGeom prst="rect">
                      <a:avLst/>
                    </a:prstGeom>
                    <a:ln/>
                  </pic:spPr>
                </pic:pic>
              </a:graphicData>
            </a:graphic>
          </wp:inline>
        </w:drawing>
      </w:r>
    </w:p>
    <w:p w14:paraId="2F91490B" w14:textId="77777777" w:rsidR="00322A62" w:rsidRDefault="00322A62">
      <w:pPr>
        <w:pBdr>
          <w:bottom w:val="single" w:sz="12" w:space="1" w:color="000000"/>
        </w:pBdr>
        <w:spacing w:after="0" w:line="240" w:lineRule="auto"/>
        <w:jc w:val="both"/>
        <w:rPr>
          <w:rFonts w:ascii="Roboto" w:eastAsia="Roboto" w:hAnsi="Roboto" w:cs="Roboto"/>
          <w:color w:val="E83544"/>
          <w:sz w:val="20"/>
          <w:szCs w:val="20"/>
        </w:rPr>
      </w:pPr>
    </w:p>
    <w:p w14:paraId="2F91490C" w14:textId="77777777" w:rsidR="00322A62" w:rsidRDefault="00322A62">
      <w:pPr>
        <w:spacing w:after="0" w:line="240" w:lineRule="auto"/>
        <w:jc w:val="both"/>
        <w:rPr>
          <w:rFonts w:ascii="Roboto" w:eastAsia="Roboto" w:hAnsi="Roboto" w:cs="Roboto"/>
          <w:color w:val="E83544"/>
          <w:sz w:val="20"/>
          <w:szCs w:val="20"/>
        </w:rPr>
      </w:pPr>
    </w:p>
    <w:p w14:paraId="2F91490D" w14:textId="77777777" w:rsidR="00322A62" w:rsidRDefault="00110BAC">
      <w:pPr>
        <w:spacing w:after="0" w:line="240" w:lineRule="auto"/>
        <w:jc w:val="both"/>
        <w:rPr>
          <w:rFonts w:ascii="Roboto" w:eastAsia="Roboto" w:hAnsi="Roboto" w:cs="Roboto"/>
          <w:sz w:val="20"/>
          <w:szCs w:val="20"/>
        </w:rPr>
      </w:pPr>
      <w:r>
        <w:rPr>
          <w:rFonts w:ascii="Roboto" w:eastAsia="Roboto" w:hAnsi="Roboto" w:cs="Roboto"/>
          <w:sz w:val="20"/>
          <w:szCs w:val="20"/>
        </w:rPr>
        <w:t>Para más información sobre la nota de prensa, resolver dudas o gestionar entrevistas</w:t>
      </w:r>
    </w:p>
    <w:p w14:paraId="2F91490E" w14:textId="77777777" w:rsidR="00322A62" w:rsidRDefault="00110BAC">
      <w:pPr>
        <w:spacing w:after="0" w:line="240" w:lineRule="auto"/>
        <w:jc w:val="both"/>
        <w:rPr>
          <w:rFonts w:ascii="Roboto" w:eastAsia="Roboto" w:hAnsi="Roboto" w:cs="Roboto"/>
          <w:sz w:val="20"/>
          <w:szCs w:val="20"/>
        </w:rPr>
      </w:pPr>
      <w:r>
        <w:rPr>
          <w:rFonts w:ascii="Roboto" w:eastAsia="Roboto" w:hAnsi="Roboto" w:cs="Roboto"/>
          <w:sz w:val="20"/>
          <w:szCs w:val="20"/>
        </w:rPr>
        <w:t>Eva Martín</w:t>
      </w:r>
    </w:p>
    <w:p w14:paraId="2F91490F" w14:textId="77777777" w:rsidR="00322A62" w:rsidRDefault="00110BAC">
      <w:pPr>
        <w:spacing w:after="0" w:line="240" w:lineRule="auto"/>
        <w:jc w:val="both"/>
        <w:rPr>
          <w:rFonts w:ascii="Roboto" w:eastAsia="Roboto" w:hAnsi="Roboto" w:cs="Roboto"/>
          <w:sz w:val="20"/>
          <w:szCs w:val="20"/>
        </w:rPr>
      </w:pPr>
      <w:r>
        <w:rPr>
          <w:rFonts w:ascii="Roboto" w:eastAsia="Roboto" w:hAnsi="Roboto" w:cs="Roboto"/>
          <w:sz w:val="20"/>
          <w:szCs w:val="20"/>
        </w:rPr>
        <w:t xml:space="preserve">Tfno. 628 17 49 01 / </w:t>
      </w:r>
      <w:r>
        <w:rPr>
          <w:rFonts w:ascii="Roboto" w:eastAsia="Roboto" w:hAnsi="Roboto" w:cs="Roboto"/>
          <w:color w:val="E83544"/>
          <w:sz w:val="20"/>
          <w:szCs w:val="20"/>
        </w:rPr>
        <w:t xml:space="preserve"> </w:t>
      </w:r>
      <w:hyperlink r:id="rId16">
        <w:r>
          <w:rPr>
            <w:rFonts w:ascii="Roboto" w:eastAsia="Roboto" w:hAnsi="Roboto" w:cs="Roboto"/>
            <w:color w:val="E83544"/>
            <w:sz w:val="20"/>
            <w:szCs w:val="20"/>
            <w:u w:val="single"/>
          </w:rPr>
          <w:t>evamc@varenga.es</w:t>
        </w:r>
      </w:hyperlink>
    </w:p>
    <w:p w14:paraId="2F914910" w14:textId="77777777" w:rsidR="00322A62" w:rsidRDefault="00322A62">
      <w:pPr>
        <w:rPr>
          <w:rFonts w:ascii="Roboto" w:eastAsia="Roboto" w:hAnsi="Roboto" w:cs="Roboto"/>
          <w:sz w:val="20"/>
          <w:szCs w:val="20"/>
        </w:rPr>
      </w:pPr>
    </w:p>
    <w:p w14:paraId="2F914911" w14:textId="77777777" w:rsidR="00322A62" w:rsidRDefault="00322A62">
      <w:pPr>
        <w:pBdr>
          <w:top w:val="nil"/>
          <w:left w:val="nil"/>
          <w:bottom w:val="nil"/>
          <w:right w:val="nil"/>
          <w:between w:val="nil"/>
        </w:pBdr>
        <w:spacing w:after="0" w:line="240" w:lineRule="auto"/>
        <w:jc w:val="both"/>
        <w:rPr>
          <w:b/>
          <w:u w:val="single"/>
        </w:rPr>
      </w:pPr>
      <w:bookmarkStart w:id="0" w:name="_gjdgxs" w:colFirst="0" w:colLast="0"/>
      <w:bookmarkEnd w:id="0"/>
    </w:p>
    <w:sectPr w:rsidR="00322A62">
      <w:headerReference w:type="default" r:id="rId17"/>
      <w:footerReference w:type="default" r:id="rId1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491C" w14:textId="77777777" w:rsidR="00C81661" w:rsidRDefault="00110BAC">
      <w:pPr>
        <w:spacing w:after="0" w:line="240" w:lineRule="auto"/>
      </w:pPr>
      <w:r>
        <w:separator/>
      </w:r>
    </w:p>
  </w:endnote>
  <w:endnote w:type="continuationSeparator" w:id="0">
    <w:p w14:paraId="2F91491E" w14:textId="77777777" w:rsidR="00C81661" w:rsidRDefault="0011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4917" w14:textId="3B70D1B4" w:rsidR="00322A62" w:rsidRDefault="00110BAC">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B217F">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4918" w14:textId="77777777" w:rsidR="00C81661" w:rsidRDefault="00110BAC">
      <w:pPr>
        <w:spacing w:after="0" w:line="240" w:lineRule="auto"/>
      </w:pPr>
      <w:r>
        <w:separator/>
      </w:r>
    </w:p>
  </w:footnote>
  <w:footnote w:type="continuationSeparator" w:id="0">
    <w:p w14:paraId="2F91491A" w14:textId="77777777" w:rsidR="00C81661" w:rsidRDefault="00110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4916" w14:textId="77777777" w:rsidR="00322A62" w:rsidRDefault="00110BAC">
    <w:pPr>
      <w:pBdr>
        <w:top w:val="nil"/>
        <w:left w:val="nil"/>
        <w:bottom w:val="nil"/>
        <w:right w:val="nil"/>
        <w:between w:val="nil"/>
      </w:pBdr>
      <w:tabs>
        <w:tab w:val="center" w:pos="4252"/>
        <w:tab w:val="right" w:pos="8504"/>
      </w:tabs>
      <w:spacing w:after="0" w:line="240" w:lineRule="auto"/>
      <w:rPr>
        <w:color w:val="000000"/>
        <w:sz w:val="40"/>
        <w:szCs w:val="40"/>
      </w:rPr>
    </w:pPr>
    <w:r>
      <w:rPr>
        <w:b/>
        <w:color w:val="000000"/>
        <w:sz w:val="40"/>
        <w:szCs w:val="40"/>
      </w:rPr>
      <w:t>NOTA DE PRENSA</w:t>
    </w:r>
    <w:r>
      <w:rPr>
        <w:noProof/>
      </w:rPr>
      <w:drawing>
        <wp:anchor distT="0" distB="0" distL="114300" distR="114300" simplePos="0" relativeHeight="251658240" behindDoc="0" locked="0" layoutInCell="1" hidden="0" allowOverlap="1" wp14:anchorId="2F914918" wp14:editId="2F914919">
          <wp:simplePos x="0" y="0"/>
          <wp:positionH relativeFrom="column">
            <wp:posOffset>4200525</wp:posOffset>
          </wp:positionH>
          <wp:positionV relativeFrom="paragraph">
            <wp:posOffset>-390524</wp:posOffset>
          </wp:positionV>
          <wp:extent cx="1284153" cy="931439"/>
          <wp:effectExtent l="0" t="0" r="0" b="0"/>
          <wp:wrapNone/>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284153" cy="93143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67F89"/>
    <w:multiLevelType w:val="multilevel"/>
    <w:tmpl w:val="F3628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62"/>
    <w:rsid w:val="00110BAC"/>
    <w:rsid w:val="00322A62"/>
    <w:rsid w:val="00567F77"/>
    <w:rsid w:val="007B1541"/>
    <w:rsid w:val="008931D0"/>
    <w:rsid w:val="00A4285E"/>
    <w:rsid w:val="00A64E29"/>
    <w:rsid w:val="00BB217F"/>
    <w:rsid w:val="00C81661"/>
    <w:rsid w:val="00CF710A"/>
    <w:rsid w:val="4379DAB5"/>
    <w:rsid w:val="70D4ED62"/>
    <w:rsid w:val="770D4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48EE"/>
  <w15:docId w15:val="{C4684B2E-13E2-4895-AD06-3EB372B9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a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gfsi.com/what-we-do/race-to-the-top-framewor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amc@varenga.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ac.es/"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mygfsi.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1" ma:contentTypeDescription="Crear nuevo documento." ma:contentTypeScope="" ma:versionID="906025266fd8ce0a309ca94f74ba6fc7">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c2347116cb2e92de548b02655a59adf4"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657F2-41B4-4650-9B35-5C562397F34B}">
  <ds:schemaRefs>
    <ds:schemaRef ds:uri="http://purl.org/dc/terms/"/>
    <ds:schemaRef ds:uri="http://schemas.openxmlformats.org/package/2006/metadata/core-properties"/>
    <ds:schemaRef ds:uri="http://schemas.microsoft.com/office/2006/documentManagement/types"/>
    <ds:schemaRef ds:uri="http://purl.org/dc/dcmitype/"/>
    <ds:schemaRef ds:uri="6e290ce1-b2e7-4ccb-948d-a290ef611fa1"/>
    <ds:schemaRef ds:uri="http://purl.org/dc/elements/1.1/"/>
    <ds:schemaRef ds:uri="http://schemas.microsoft.com/office/2006/metadata/properties"/>
    <ds:schemaRef ds:uri="http://schemas.microsoft.com/office/infopath/2007/PartnerControls"/>
    <ds:schemaRef ds:uri="909e21e3-a2e2-47ca-be0e-9c3a9bef9292"/>
    <ds:schemaRef ds:uri="http://www.w3.org/XML/1998/namespace"/>
  </ds:schemaRefs>
</ds:datastoreItem>
</file>

<file path=customXml/itemProps2.xml><?xml version="1.0" encoding="utf-8"?>
<ds:datastoreItem xmlns:ds="http://schemas.openxmlformats.org/officeDocument/2006/customXml" ds:itemID="{D5D8C61B-BAFD-4632-9C05-48461DD1C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7829E-D3BD-44EC-AA88-19A200105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4534</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Diaz Pozo</dc:creator>
  <cp:lastModifiedBy>Denise Diaz Pozo</cp:lastModifiedBy>
  <cp:revision>3</cp:revision>
  <dcterms:created xsi:type="dcterms:W3CDTF">2022-03-31T11:49:00Z</dcterms:created>
  <dcterms:modified xsi:type="dcterms:W3CDTF">2022-03-31T11:49:00Z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ies>
</file>