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3930B5" w:rsidRDefault="003930B5" w14:paraId="4E98921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30B5" w:rsidRDefault="003930B5" w14:paraId="4E98921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30B5" w:rsidRDefault="003930B5" w14:paraId="4E989213" w14:textId="77777777">
      <w:pPr>
        <w:spacing w:after="0" w:line="240" w:lineRule="auto"/>
        <w:jc w:val="both"/>
        <w:rPr>
          <w:b/>
        </w:rPr>
      </w:pPr>
    </w:p>
    <w:p w:rsidR="003930B5" w:rsidP="5FBF06AA" w:rsidRDefault="00D169A2" w14:paraId="4E989214" w14:textId="77777777">
      <w:pPr>
        <w:spacing w:after="160" w:line="259" w:lineRule="auto"/>
        <w:jc w:val="center"/>
        <w:rPr>
          <w:b w:val="1"/>
          <w:bCs w:val="1"/>
          <w:color w:val="auto"/>
          <w:sz w:val="30"/>
          <w:szCs w:val="30"/>
        </w:rPr>
      </w:pPr>
      <w:r w:rsidRPr="5FBF06AA" w:rsidR="00D169A2">
        <w:rPr>
          <w:b w:val="1"/>
          <w:bCs w:val="1"/>
          <w:sz w:val="30"/>
          <w:szCs w:val="30"/>
        </w:rPr>
        <w:t xml:space="preserve">El Ministerio para la Transición Ecológica y el Reto Demográfico exige certificación acreditada </w:t>
      </w:r>
      <w:r w:rsidRPr="5FBF06AA" w:rsidR="00D169A2">
        <w:rPr>
          <w:b w:val="1"/>
          <w:bCs w:val="1"/>
          <w:color w:val="auto"/>
          <w:sz w:val="30"/>
          <w:szCs w:val="30"/>
        </w:rPr>
        <w:t>por ENAC</w:t>
      </w:r>
      <w:r w:rsidRPr="5FBF06AA" w:rsidR="00D169A2">
        <w:rPr>
          <w:b w:val="1"/>
          <w:bCs w:val="1"/>
          <w:color w:val="auto"/>
          <w:sz w:val="30"/>
          <w:szCs w:val="30"/>
        </w:rPr>
        <w:t xml:space="preserve"> para el “fin de la condición de residuos” de nuevos materiales  </w:t>
      </w:r>
    </w:p>
    <w:p w:rsidRPr="008F2B1F" w:rsidR="003930B5" w:rsidP="5FBF06AA" w:rsidRDefault="00D169A2" w14:paraId="4E989215" w14:textId="77777777">
      <w:pPr>
        <w:numPr>
          <w:ilvl w:val="0"/>
          <w:numId w:val="1"/>
        </w:numPr>
        <w:jc w:val="both"/>
        <w:rPr>
          <w:b w:val="1"/>
          <w:bCs w:val="1"/>
          <w:color w:val="000000" w:themeColor="text1" w:themeTint="FF" w:themeShade="FF"/>
          <w:sz w:val="20"/>
          <w:szCs w:val="20"/>
        </w:rPr>
      </w:pPr>
      <w:r w:rsidRPr="5FBF06AA" w:rsidR="00D169A2">
        <w:rPr>
          <w:b w:val="1"/>
          <w:bCs w:val="1"/>
          <w:color w:val="auto"/>
        </w:rPr>
        <w:t>La Orden TED/1522/2021 determina que los productores o importadores deberán implantar o exigir un sistema de gestión certificado por una entidad acreditada</w:t>
      </w:r>
    </w:p>
    <w:p w:rsidR="008F2B1F" w:rsidP="5FBF06AA" w:rsidRDefault="008F2B1F" w14:paraId="64ABE901" w14:textId="71D09A12">
      <w:pPr>
        <w:numPr>
          <w:ilvl w:val="0"/>
          <w:numId w:val="1"/>
        </w:numPr>
        <w:jc w:val="both"/>
        <w:rPr>
          <w:b w:val="1"/>
          <w:bCs w:val="1"/>
          <w:color w:val="000000" w:themeColor="text1" w:themeTint="FF" w:themeShade="FF"/>
          <w:sz w:val="20"/>
          <w:szCs w:val="20"/>
        </w:rPr>
      </w:pPr>
      <w:r w:rsidRPr="5FBF06AA" w:rsidR="008F2B1F">
        <w:rPr>
          <w:b w:val="1"/>
          <w:bCs w:val="1"/>
          <w:color w:val="auto"/>
        </w:rPr>
        <w:t xml:space="preserve">La norma </w:t>
      </w:r>
      <w:r w:rsidRPr="5FBF06AA" w:rsidR="0049111A">
        <w:rPr>
          <w:b w:val="1"/>
          <w:bCs w:val="1"/>
          <w:color w:val="auto"/>
        </w:rPr>
        <w:t>determina cuándo el caucho granulado y el polvo de caucho</w:t>
      </w:r>
      <w:r w:rsidRPr="5FBF06AA" w:rsidR="002B54E1">
        <w:rPr>
          <w:b w:val="1"/>
          <w:bCs w:val="1"/>
          <w:color w:val="auto"/>
        </w:rPr>
        <w:t>, el papel y el cartón recuperado, el aceit</w:t>
      </w:r>
      <w:r w:rsidRPr="5FBF06AA" w:rsidR="3BFB813F">
        <w:rPr>
          <w:b w:val="1"/>
          <w:bCs w:val="1"/>
          <w:color w:val="auto"/>
        </w:rPr>
        <w:t>e</w:t>
      </w:r>
      <w:r w:rsidRPr="5FBF06AA" w:rsidR="002B54E1">
        <w:rPr>
          <w:b w:val="1"/>
          <w:bCs w:val="1"/>
          <w:color w:val="auto"/>
        </w:rPr>
        <w:t xml:space="preserve"> usado procesado</w:t>
      </w:r>
      <w:r w:rsidRPr="5FBF06AA" w:rsidR="0049111A">
        <w:rPr>
          <w:b w:val="1"/>
          <w:bCs w:val="1"/>
          <w:color w:val="auto"/>
        </w:rPr>
        <w:t xml:space="preserve"> </w:t>
      </w:r>
      <w:r w:rsidRPr="5FBF06AA" w:rsidR="00365830">
        <w:rPr>
          <w:b w:val="1"/>
          <w:bCs w:val="1"/>
          <w:color w:val="auto"/>
        </w:rPr>
        <w:t xml:space="preserve">y el fuel recuperado procedente del tratamiento de residuos MARPOL tipo C </w:t>
      </w:r>
      <w:r w:rsidRPr="5FBF06AA" w:rsidR="0049111A">
        <w:rPr>
          <w:b w:val="1"/>
          <w:bCs w:val="1"/>
          <w:color w:val="auto"/>
        </w:rPr>
        <w:t>dejan de ser un residuo</w:t>
      </w:r>
    </w:p>
    <w:p w:rsidR="003930B5" w:rsidP="5FBF06AA" w:rsidRDefault="00D169A2" w14:paraId="4E989217" w14:textId="1C9324FE">
      <w:pPr>
        <w:spacing w:after="240" w:line="259" w:lineRule="auto"/>
        <w:ind w:left="0"/>
        <w:jc w:val="both"/>
        <w:rPr>
          <w:b w:val="1"/>
          <w:bCs w:val="1"/>
          <w:color w:val="FF0000"/>
        </w:rPr>
      </w:pPr>
      <w:r w:rsidR="00D169A2">
        <w:rPr/>
        <w:t>Madrid, 31 de enero de 2022.</w:t>
      </w:r>
      <w:r w:rsidR="7AB51692">
        <w:rPr/>
        <w:t>- La</w:t>
      </w:r>
      <w:r w:rsidR="00D169A2">
        <w:rPr/>
        <w:t xml:space="preserve"> Nueva Orden TED/1522/2021 publicada recientemente por </w:t>
      </w:r>
      <w:r w:rsidR="00D169A2">
        <w:rPr/>
        <w:t>e</w:t>
      </w:r>
      <w:r w:rsidR="00D169A2">
        <w:rPr/>
        <w:t xml:space="preserve">l Ministerio </w:t>
      </w:r>
      <w:r w:rsidR="00D169A2">
        <w:rPr/>
        <w:t xml:space="preserve">para la Transición Ecológica y el Reto Demográfico </w:t>
      </w:r>
      <w:r w:rsidR="00D169A2">
        <w:rPr/>
        <w:t>determina</w:t>
      </w:r>
      <w:r w:rsidR="00D169A2">
        <w:rPr/>
        <w:t xml:space="preserve"> cuándo el </w:t>
      </w:r>
      <w:r w:rsidRPr="5FBF06AA" w:rsidR="00D169A2">
        <w:rPr>
          <w:b w:val="1"/>
          <w:bCs w:val="1"/>
        </w:rPr>
        <w:t xml:space="preserve">caucho granulado y el polvo de caucho </w:t>
      </w:r>
      <w:r w:rsidR="00D169A2">
        <w:rPr/>
        <w:t>obtenidos del tratamiento de neumáticos fuera de uso o de residuos de caucho p</w:t>
      </w:r>
      <w:r w:rsidR="00D169A2">
        <w:rPr/>
        <w:t xml:space="preserve">rocedentes de la fabricación de neumáticos o de su recauchutado </w:t>
      </w:r>
      <w:r w:rsidRPr="5FBF06AA" w:rsidR="00D169A2">
        <w:rPr>
          <w:b w:val="1"/>
          <w:bCs w:val="1"/>
        </w:rPr>
        <w:t>dejan de ser un residuo</w:t>
      </w:r>
      <w:r w:rsidR="00D169A2">
        <w:rPr/>
        <w:t>. Además, este texto legislativo modifica tres Órdenes Ministeriales anteriores, sobre gestión de residuos, la TED/426/2020, la APM/205/2018 y la APM/206/2018, que estab</w:t>
      </w:r>
      <w:r w:rsidR="00D169A2">
        <w:rPr/>
        <w:t xml:space="preserve">lecían los criterios correspondientes para el </w:t>
      </w:r>
      <w:r w:rsidRPr="5FBF06AA" w:rsidR="00D169A2">
        <w:rPr>
          <w:b w:val="1"/>
          <w:bCs w:val="1"/>
        </w:rPr>
        <w:t xml:space="preserve">papel y cartón recuperado </w:t>
      </w:r>
      <w:r w:rsidR="00D169A2">
        <w:rPr/>
        <w:t xml:space="preserve">destinado a la fabricación de papel y cartón, el </w:t>
      </w:r>
      <w:r w:rsidRPr="5FBF06AA" w:rsidR="00D169A2">
        <w:rPr>
          <w:b w:val="1"/>
          <w:bCs w:val="1"/>
        </w:rPr>
        <w:t xml:space="preserve">aceite usado procesado </w:t>
      </w:r>
      <w:r w:rsidR="00D169A2">
        <w:rPr/>
        <w:t xml:space="preserve">procedente del tratamiento de aceites usados para su uso como combustible y el </w:t>
      </w:r>
      <w:r w:rsidRPr="5FBF06AA" w:rsidR="00D169A2">
        <w:rPr>
          <w:b w:val="1"/>
          <w:bCs w:val="1"/>
        </w:rPr>
        <w:t>fuel recuperado</w:t>
      </w:r>
      <w:r w:rsidR="00D169A2">
        <w:rPr/>
        <w:t xml:space="preserve"> procedente del tr</w:t>
      </w:r>
      <w:r w:rsidR="00D169A2">
        <w:rPr/>
        <w:t>atamiento de residuos MARPOL tipo C para su uso como combustible en buques.</w:t>
      </w:r>
    </w:p>
    <w:p w:rsidR="003930B5" w:rsidRDefault="00D169A2" w14:paraId="4E989218" w14:textId="77777777">
      <w:pPr>
        <w:spacing w:after="160" w:line="259" w:lineRule="auto"/>
        <w:jc w:val="both"/>
      </w:pPr>
      <w:r w:rsidR="00D169A2">
        <w:rPr/>
        <w:t xml:space="preserve">En la Orden Ministerial, se determina que en todos los casos los productores o importadores deberán </w:t>
      </w:r>
      <w:r w:rsidRPr="5FBF06AA" w:rsidR="00D169A2">
        <w:rPr>
          <w:b w:val="1"/>
          <w:bCs w:val="1"/>
        </w:rPr>
        <w:t>implantar o exigir un sistema de gestión</w:t>
      </w:r>
      <w:r w:rsidR="00D169A2">
        <w:rPr/>
        <w:t xml:space="preserve"> que les permita demostrar su cumplimien</w:t>
      </w:r>
      <w:r w:rsidR="00D169A2">
        <w:rPr/>
        <w:t xml:space="preserve">to con los requisitos de cada texto y que deberá estar </w:t>
      </w:r>
      <w:r w:rsidRPr="5FBF06AA" w:rsidR="00D169A2">
        <w:rPr>
          <w:b w:val="1"/>
          <w:bCs w:val="1"/>
        </w:rPr>
        <w:t>certificado por una entidad de certificación acreditada</w:t>
      </w:r>
      <w:r w:rsidR="00D169A2">
        <w:rPr/>
        <w:t xml:space="preserve"> de acuerdo al Reglamento nº765/2008 del Parlamento Europeo y del Consejo, lo que implica en el caso de España, el disponer de una acreditación de</w:t>
      </w:r>
      <w:r w:rsidRPr="5FBF06AA" w:rsidR="00D169A2">
        <w:rPr>
          <w:b w:val="1"/>
          <w:bCs w:val="1"/>
        </w:rPr>
        <w:t xml:space="preserve"> ENAC</w:t>
      </w:r>
      <w:r w:rsidRPr="5FBF06AA" w:rsidR="00D169A2">
        <w:rPr>
          <w:b w:val="1"/>
          <w:bCs w:val="1"/>
        </w:rPr>
        <w:t xml:space="preserve">, la </w:t>
      </w:r>
      <w:r>
        <w:fldChar w:fldCharType="begin"/>
      </w:r>
      <w:r>
        <w:instrText xml:space="preserve">HYPERLINK "https://www.enac.es/"</w:instrText>
      </w:r>
      <w:r>
        <w:fldChar w:fldCharType="separate"/>
      </w:r>
      <w:r w:rsidRPr="5FBF06AA" w:rsidR="00D169A2">
        <w:rPr>
          <w:b w:val="1"/>
          <w:bCs w:val="1"/>
          <w:color w:val="1155CC"/>
          <w:u w:val="single"/>
        </w:rPr>
        <w:t>Entidad Nacional de Acreditación</w:t>
      </w:r>
      <w:r>
        <w:fldChar w:fldCharType="end"/>
      </w:r>
      <w:r w:rsidR="00D169A2">
        <w:rPr/>
        <w:t xml:space="preserve">. </w:t>
      </w:r>
    </w:p>
    <w:p w:rsidR="003930B5" w:rsidRDefault="00D169A2" w14:paraId="4E989219" w14:textId="77777777">
      <w:pPr>
        <w:spacing w:after="160" w:line="259" w:lineRule="auto"/>
        <w:jc w:val="both"/>
      </w:pPr>
      <w:r>
        <w:t xml:space="preserve">En relación con esta actividad, la </w:t>
      </w:r>
      <w:r>
        <w:rPr>
          <w:b/>
        </w:rPr>
        <w:t>European Accreditation</w:t>
      </w:r>
      <w:r>
        <w:t xml:space="preserve"> (organización europea de acreditadores) ya estableció las normas y requisitos necesarios para poder evaluar de manera adecuada la competencia de este tipo de entidades que ENAC recogió en su  </w:t>
      </w:r>
      <w:hyperlink r:id="rId10">
        <w:r>
          <w:t>documento RDE-10</w:t>
        </w:r>
      </w:hyperlink>
      <w:r>
        <w:t xml:space="preserve">, y que constituye la base para esta acreditación. </w:t>
      </w:r>
    </w:p>
    <w:p w:rsidR="003930B5" w:rsidRDefault="00D169A2" w14:paraId="4E98921A" w14:textId="3BFB53E3">
      <w:pPr>
        <w:spacing w:after="160" w:line="259" w:lineRule="auto"/>
        <w:jc w:val="both"/>
      </w:pPr>
    </w:p>
    <w:p w:rsidR="003930B5" w:rsidRDefault="00D169A2" w14:paraId="4E98921B" w14:textId="77777777">
      <w:pPr>
        <w:spacing w:after="160" w:line="259" w:lineRule="auto"/>
        <w:jc w:val="both"/>
        <w:rPr>
          <w:b/>
        </w:rPr>
      </w:pPr>
      <w:r>
        <w:rPr>
          <w:b/>
        </w:rPr>
        <w:t>Confianza de la Administración española en la acreditación de ENAC</w:t>
      </w:r>
    </w:p>
    <w:p w:rsidR="003930B5" w:rsidRDefault="00D169A2" w14:paraId="4E98921C" w14:textId="6A1EF817">
      <w:pPr>
        <w:spacing w:after="160" w:line="259" w:lineRule="auto"/>
        <w:jc w:val="both"/>
      </w:pPr>
      <w:r w:rsidR="00D169A2">
        <w:rPr/>
        <w:t>Esta nueva reglamentación demuestra, una vez más, la confianza que la Administración Pública deposita en la acreditación como herramienta para garantizar la seguridad</w:t>
      </w:r>
      <w:r w:rsidR="00D169A2">
        <w:rPr/>
        <w:t xml:space="preserve"> e integridad de</w:t>
      </w:r>
      <w:r w:rsidR="00D169A2">
        <w:rPr/>
        <w:t xml:space="preserve"> </w:t>
      </w:r>
      <w:r w:rsidR="571337F0">
        <w:rPr/>
        <w:t>las actividades</w:t>
      </w:r>
      <w:r w:rsidR="00D169A2">
        <w:rPr/>
        <w:t xml:space="preserve"> de evaluación de la conformidad</w:t>
      </w:r>
      <w:r w:rsidR="00D169A2">
        <w:rPr/>
        <w:t>;</w:t>
      </w:r>
      <w:r w:rsidR="00D169A2">
        <w:rPr/>
        <w:t xml:space="preserve"> en este caso, relacionadas con un asunto de capital importancia en las agendas públicas de todo el mundo: la gestión de los residuos.  </w:t>
      </w:r>
    </w:p>
    <w:p w:rsidR="003930B5" w:rsidRDefault="003930B5" w14:paraId="4E98921D" w14:textId="77777777">
      <w:pPr>
        <w:spacing w:after="160" w:line="259" w:lineRule="auto"/>
        <w:jc w:val="both"/>
      </w:pPr>
    </w:p>
    <w:p w:rsidR="003930B5" w:rsidRDefault="003930B5" w14:paraId="4E98921E" w14:textId="77777777">
      <w:pPr>
        <w:spacing w:after="160" w:line="259" w:lineRule="auto"/>
        <w:jc w:val="both"/>
      </w:pPr>
    </w:p>
    <w:p w:rsidR="003930B5" w:rsidRDefault="00D169A2" w14:paraId="4E98921F" w14:textId="77777777">
      <w:pPr>
        <w:spacing w:after="160" w:line="259" w:lineRule="auto"/>
        <w:jc w:val="both"/>
      </w:pPr>
      <w:r>
        <w:t xml:space="preserve">Para que un sistema de gestión aporte el nivel de </w:t>
      </w:r>
      <w:r>
        <w:t xml:space="preserve">confianza requerido por todos los agentes implicados, es imprescindible que las entidades de certificación que lo avalen sean técnicamente competentes, independientes, fiables y percibidas como tales por todos aquellos que han de confiar en la veracidad y </w:t>
      </w:r>
      <w:r>
        <w:t>valor de sus certificados. Esta garantía es la que ofrecen los servicios acreditados por ENAC: solo las entidades acreditadas han demostrado su competencia e imparcialidad ante una tercera parte independiente, ante quien han evidenciado que disponen de los</w:t>
      </w:r>
      <w:r>
        <w:t xml:space="preserve"> medios necesarios para ofrecer el servicio de certificación con el rigor necesario para ser aceptadas por el mercado. </w:t>
      </w:r>
    </w:p>
    <w:p w:rsidR="003930B5" w:rsidRDefault="00D169A2" w14:paraId="4E989220" w14:textId="77777777">
      <w:pPr>
        <w:widowControl w:val="0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Sobre ENAC </w:t>
      </w:r>
    </w:p>
    <w:p w:rsidR="003930B5" w:rsidRDefault="003930B5" w14:paraId="4E989221" w14:textId="77777777">
      <w:pPr>
        <w:widowControl w:val="0"/>
        <w:spacing w:after="0" w:line="240" w:lineRule="auto"/>
      </w:pPr>
    </w:p>
    <w:p w:rsidR="003930B5" w:rsidRDefault="00D169A2" w14:paraId="4E989222" w14:textId="77777777">
      <w:pPr>
        <w:spacing w:after="0" w:line="240" w:lineRule="auto"/>
        <w:jc w:val="both"/>
      </w:pPr>
      <w:r>
        <w:t>La Entidad Nacional de Acreditación – ENAC – es la entidad designada por el Gobierno para operar en España como el único Organismo Nacional de Acreditación, en aplicación del Reglamento (CE) nº 765/2008 del Parlamento Europeo que regula el funcionamiento d</w:t>
      </w:r>
      <w:r>
        <w:t>e la acreditación en Europa.</w:t>
      </w:r>
    </w:p>
    <w:p w:rsidR="003930B5" w:rsidRDefault="00D169A2" w14:paraId="4E989223" w14:textId="77777777">
      <w:pPr>
        <w:spacing w:after="0" w:line="240" w:lineRule="auto"/>
        <w:jc w:val="both"/>
      </w:pPr>
      <w:r>
        <w:rPr>
          <w:color w:val="1F497D"/>
        </w:rPr>
        <w:t> </w:t>
      </w:r>
    </w:p>
    <w:p w:rsidR="003930B5" w:rsidRDefault="00D169A2" w14:paraId="4E989224" w14:textId="77777777">
      <w:pPr>
        <w:spacing w:after="0" w:line="240" w:lineRule="auto"/>
        <w:jc w:val="both"/>
      </w:pPr>
      <w:r>
        <w:t>ENAC tiene como misión generar confianza en el mercado y en la sociedad evaluando, a través de un sistema conforme a normas internacionales, la competencia técnica de laboratorios de ensayo o calibración, entidades de inspecc</w:t>
      </w:r>
      <w:r>
        <w:t>ión, entidades de certificación,  verificadores medioambientales y verificadores que desarrollen su actividad en cualquier sector: industria,  energía, medio ambiente, sanidad, alimentación, investigación, desarrollo e innovación, transportes, telecomunica</w:t>
      </w:r>
      <w:r>
        <w:t>ciones, turismo, servicios, construcción, etc. Contribuye, así, a la seguridad y el bienestar de las personas, la calidad de los productos y servicios, la protección del medioambiente y, con ello, al aumento de la competitividad de los productos y servicio</w:t>
      </w:r>
      <w:r>
        <w:t>s españoles y a una disminución de los costes para la sociedad debidos a estas actividades. </w:t>
      </w:r>
    </w:p>
    <w:p w:rsidR="003930B5" w:rsidRDefault="00D169A2" w14:paraId="4E989225" w14:textId="77777777">
      <w:pPr>
        <w:spacing w:after="0" w:line="240" w:lineRule="auto"/>
        <w:jc w:val="both"/>
      </w:pPr>
      <w:r>
        <w:t> </w:t>
      </w:r>
    </w:p>
    <w:p w:rsidR="003930B5" w:rsidRDefault="00D169A2" w14:paraId="4E989226" w14:textId="77777777">
      <w:pPr>
        <w:spacing w:after="0" w:line="240" w:lineRule="auto"/>
        <w:jc w:val="both"/>
      </w:pPr>
      <w:r>
        <w:t>La marca ENAC es la manera de distinguir si un certificado o informe está acreditado o no. Es la garantía de que la organización que lo emite es técnicamente com</w:t>
      </w:r>
      <w:r>
        <w:t>petente para llevar a cabo la tarea que realiza, y lo es tanto en España como en los 100 países en los que la marca de ENAC es reconocida y aceptada gracias a los acuerdos de reconocimiento que ENAC ha suscrito con las entidades de acreditación de esos paí</w:t>
      </w:r>
      <w:r>
        <w:t>ses.</w:t>
      </w:r>
    </w:p>
    <w:p w:rsidR="003930B5" w:rsidRDefault="003930B5" w14:paraId="4E989227" w14:textId="77777777">
      <w:pPr>
        <w:spacing w:after="0" w:line="240" w:lineRule="auto"/>
      </w:pPr>
    </w:p>
    <w:p w:rsidR="003930B5" w:rsidRDefault="00D169A2" w14:paraId="4E989228" w14:textId="77777777">
      <w:pPr>
        <w:spacing w:after="0" w:line="240" w:lineRule="auto"/>
      </w:pPr>
      <w:hyperlink r:id="rId11">
        <w:r>
          <w:rPr>
            <w:color w:val="0000FF"/>
            <w:u w:val="single"/>
          </w:rPr>
          <w:t>www.enac.es</w:t>
        </w:r>
      </w:hyperlink>
      <w:r>
        <w:t xml:space="preserve"> </w:t>
      </w:r>
    </w:p>
    <w:p w:rsidR="003930B5" w:rsidRDefault="00D169A2" w14:paraId="4E989229" w14:textId="7777777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98922F" wp14:editId="4E989230">
            <wp:simplePos x="0" y="0"/>
            <wp:positionH relativeFrom="column">
              <wp:posOffset>3814</wp:posOffset>
            </wp:positionH>
            <wp:positionV relativeFrom="paragraph">
              <wp:posOffset>118110</wp:posOffset>
            </wp:positionV>
            <wp:extent cx="221615" cy="181610"/>
            <wp:effectExtent l="0" t="0" r="0" b="0"/>
            <wp:wrapSquare wrapText="bothSides" distT="0" distB="0" distL="114300" distR="114300"/>
            <wp:docPr id="1" name="image3.png" descr="Resultado de imagen de icono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de icono twitter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E989231" wp14:editId="4E989232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0" b="0"/>
            <wp:wrapSquare wrapText="bothSides" distT="0" distB="0" distL="114300" distR="114300"/>
            <wp:docPr id="3" name="image1.png" descr="Resultado de imagen de icono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de icono linkedin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30B5" w:rsidRDefault="003930B5" w14:paraId="4E98922A" w14:textId="77777777">
      <w:pPr>
        <w:spacing w:after="0" w:line="240" w:lineRule="auto"/>
      </w:pPr>
    </w:p>
    <w:p w:rsidR="003930B5" w:rsidRDefault="00D169A2" w14:paraId="4E98922B" w14:textId="77777777">
      <w:pPr>
        <w:spacing w:after="0" w:line="240" w:lineRule="auto"/>
      </w:pPr>
      <w:r>
        <w:t>Para más información sobre la nota de prensa, resolver dudas o gestionar entrevistas</w:t>
      </w:r>
    </w:p>
    <w:p w:rsidR="003930B5" w:rsidRDefault="00D169A2" w14:paraId="4E98922C" w14:textId="77777777">
      <w:pPr>
        <w:spacing w:after="0" w:line="240" w:lineRule="auto"/>
      </w:pPr>
      <w:r>
        <w:t>Eva Martín</w:t>
      </w:r>
    </w:p>
    <w:p w:rsidR="003930B5" w:rsidRDefault="00D169A2" w14:paraId="4E98922D" w14:textId="77777777">
      <w:pPr>
        <w:spacing w:after="0" w:line="240" w:lineRule="auto"/>
      </w:pPr>
      <w:r>
        <w:t xml:space="preserve">Tfno. 628 17 49 01 /  </w:t>
      </w:r>
      <w:hyperlink r:id="rId14">
        <w:r>
          <w:rPr>
            <w:color w:val="0000FF"/>
            <w:u w:val="single"/>
          </w:rPr>
          <w:t>evamc@varenga.es</w:t>
        </w:r>
      </w:hyperlink>
    </w:p>
    <w:p w:rsidR="003930B5" w:rsidRDefault="003930B5" w14:paraId="4E98922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bookmarkStart w:name="_gjdgxs" w:colFirst="0" w:colLast="0" w:id="19"/>
      <w:bookmarkEnd w:id="19"/>
    </w:p>
    <w:sectPr w:rsidR="003930B5">
      <w:headerReference w:type="default" r:id="rId15"/>
      <w:footerReference w:type="default" r:id="rId16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69A2" w:rsidRDefault="00D169A2" w14:paraId="47E2D3EF" w14:textId="77777777">
      <w:pPr>
        <w:spacing w:after="0" w:line="240" w:lineRule="auto"/>
      </w:pPr>
      <w:r>
        <w:separator/>
      </w:r>
    </w:p>
  </w:endnote>
  <w:endnote w:type="continuationSeparator" w:id="0">
    <w:p w:rsidR="00D169A2" w:rsidRDefault="00D169A2" w14:paraId="09B22F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30B5" w:rsidRDefault="00D169A2" w14:paraId="4E989234" w14:textId="33046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6669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69A2" w:rsidRDefault="00D169A2" w14:paraId="3123A01B" w14:textId="77777777">
      <w:pPr>
        <w:spacing w:after="0" w:line="240" w:lineRule="auto"/>
      </w:pPr>
      <w:r>
        <w:separator/>
      </w:r>
    </w:p>
  </w:footnote>
  <w:footnote w:type="continuationSeparator" w:id="0">
    <w:p w:rsidR="00D169A2" w:rsidRDefault="00D169A2" w14:paraId="317FA4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930B5" w:rsidRDefault="00D169A2" w14:paraId="4E98923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989235" wp14:editId="4E989236">
          <wp:simplePos x="0" y="0"/>
          <wp:positionH relativeFrom="column">
            <wp:posOffset>4530090</wp:posOffset>
          </wp:positionH>
          <wp:positionV relativeFrom="paragraph">
            <wp:posOffset>-297178</wp:posOffset>
          </wp:positionV>
          <wp:extent cx="1324610" cy="73342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702B6"/>
    <w:multiLevelType w:val="multilevel"/>
    <w:tmpl w:val="797E5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B5"/>
    <w:rsid w:val="00066695"/>
    <w:rsid w:val="002B54E1"/>
    <w:rsid w:val="00365830"/>
    <w:rsid w:val="003930B5"/>
    <w:rsid w:val="0049111A"/>
    <w:rsid w:val="008F2B1F"/>
    <w:rsid w:val="00D169A2"/>
    <w:rsid w:val="1C4A5C02"/>
    <w:rsid w:val="3BFB813F"/>
    <w:rsid w:val="53C568A3"/>
    <w:rsid w:val="571337F0"/>
    <w:rsid w:val="5FBF06AA"/>
    <w:rsid w:val="7AB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9211"/>
  <w15:docId w15:val="{503E2DD9-E6F1-4DC4-AF0A-3C9459DE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66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enac.es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enac.es/documents/7020/062fd0b8-32a5-44c8-a432-1e46126f62ea?version=3.0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evamc@varenga.es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E1870-2D42-44D5-85F3-82117BB37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9C1A33-B3DC-475F-9E2B-E0492521D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2DEF5-1FB9-4C77-891B-4AAD77AA5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Eva Martín</lastModifiedBy>
  <revision>7</revision>
  <dcterms:created xsi:type="dcterms:W3CDTF">2022-01-27T11:25:00.0000000Z</dcterms:created>
  <dcterms:modified xsi:type="dcterms:W3CDTF">2022-01-27T11:35:01.2555016Z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