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BB0510" w:rsidRDefault="00BB0510" w14:paraId="339BFA6B" w14:textId="77777777">
      <w:pPr>
        <w:rPr>
          <w:b/>
          <w:sz w:val="42"/>
          <w:szCs w:val="42"/>
        </w:rPr>
      </w:pPr>
    </w:p>
    <w:p w:rsidR="00BB0510" w:rsidP="213E1C0D" w:rsidRDefault="00C44607" w14:paraId="339BFA6C" w14:textId="5D8D1031">
      <w:pPr>
        <w:jc w:val="center"/>
        <w:rPr>
          <w:rFonts w:ascii="Roboto" w:hAnsi="Roboto" w:eastAsia="Roboto" w:cs="Roboto"/>
          <w:b w:val="1"/>
          <w:bCs w:val="1"/>
          <w:sz w:val="38"/>
          <w:szCs w:val="38"/>
        </w:rPr>
      </w:pPr>
      <w:r w:rsidRPr="213E1C0D" w:rsidR="00C44607">
        <w:rPr>
          <w:rFonts w:ascii="Roboto" w:hAnsi="Roboto" w:eastAsia="Roboto" w:cs="Roboto"/>
          <w:b w:val="1"/>
          <w:bCs w:val="1"/>
          <w:sz w:val="38"/>
          <w:szCs w:val="38"/>
        </w:rPr>
        <w:t xml:space="preserve">ENAC lanza 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>un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 xml:space="preserve"> </w:t>
      </w:r>
      <w:r w:rsidRPr="213E1C0D" w:rsidR="00C44607">
        <w:rPr>
          <w:rFonts w:ascii="Roboto" w:hAnsi="Roboto" w:eastAsia="Roboto" w:cs="Roboto"/>
          <w:b w:val="1"/>
          <w:bCs w:val="1"/>
          <w:sz w:val="38"/>
          <w:szCs w:val="38"/>
        </w:rPr>
        <w:t xml:space="preserve">nuevo esquema de 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>acredita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>ción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 xml:space="preserve"> </w:t>
      </w:r>
      <w:r w:rsidRPr="213E1C0D" w:rsidR="00C44607">
        <w:rPr>
          <w:rFonts w:ascii="Roboto" w:hAnsi="Roboto" w:eastAsia="Roboto" w:cs="Roboto"/>
          <w:b w:val="1"/>
          <w:bCs w:val="1"/>
          <w:sz w:val="38"/>
          <w:szCs w:val="38"/>
        </w:rPr>
        <w:t xml:space="preserve">para 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 xml:space="preserve">certificar </w:t>
      </w:r>
      <w:r w:rsidRPr="213E1C0D" w:rsidR="00C44607">
        <w:rPr>
          <w:rFonts w:ascii="Roboto" w:hAnsi="Roboto" w:eastAsia="Roboto" w:cs="Roboto"/>
          <w:b w:val="1"/>
          <w:bCs w:val="1"/>
          <w:sz w:val="38"/>
          <w:szCs w:val="38"/>
        </w:rPr>
        <w:t xml:space="preserve">el “fin de </w:t>
      </w:r>
      <w:r w:rsidRPr="213E1C0D" w:rsidR="00B76048">
        <w:rPr>
          <w:rFonts w:ascii="Roboto" w:hAnsi="Roboto" w:eastAsia="Roboto" w:cs="Roboto"/>
          <w:b w:val="1"/>
          <w:bCs w:val="1"/>
          <w:sz w:val="38"/>
          <w:szCs w:val="38"/>
        </w:rPr>
        <w:t xml:space="preserve">la </w:t>
      </w:r>
      <w:r w:rsidRPr="213E1C0D" w:rsidR="00C44607">
        <w:rPr>
          <w:rFonts w:ascii="Roboto" w:hAnsi="Roboto" w:eastAsia="Roboto" w:cs="Roboto"/>
          <w:b w:val="1"/>
          <w:bCs w:val="1"/>
          <w:sz w:val="38"/>
          <w:szCs w:val="38"/>
        </w:rPr>
        <w:t>condición de residuo</w:t>
      </w:r>
      <w:r w:rsidRPr="213E1C0D" w:rsidR="00C44607">
        <w:rPr>
          <w:rFonts w:ascii="Roboto" w:hAnsi="Roboto" w:eastAsia="Roboto" w:cs="Roboto"/>
          <w:b w:val="1"/>
          <w:bCs w:val="1"/>
          <w:sz w:val="38"/>
          <w:szCs w:val="38"/>
        </w:rPr>
        <w:t xml:space="preserve">”  </w:t>
      </w:r>
    </w:p>
    <w:p w:rsidR="00BB0510" w:rsidRDefault="00C44607" w14:paraId="339BFA6D" w14:textId="77777777">
      <w:pPr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>
        <w:rPr>
          <w:rFonts w:ascii="Roboto" w:hAnsi="Roboto" w:eastAsia="Roboto" w:cs="Roboto"/>
          <w:b/>
          <w:sz w:val="20"/>
          <w:szCs w:val="20"/>
        </w:rPr>
        <w:t xml:space="preserve">A través de este esquema podrán acreditarse las entidades que certifiquen </w:t>
      </w:r>
      <w:r>
        <w:rPr>
          <w:rFonts w:ascii="Roboto" w:hAnsi="Roboto" w:eastAsia="Roboto" w:cs="Roboto"/>
          <w:b/>
          <w:sz w:val="20"/>
          <w:szCs w:val="20"/>
        </w:rPr>
        <w:t>sistemas de gestión en el nuevo marco legislativo sobre el fin de la condición de residuo</w:t>
      </w:r>
    </w:p>
    <w:p w:rsidR="00BB0510" w:rsidRDefault="00BB0510" w14:paraId="339BFA6E" w14:textId="77777777">
      <w:pPr>
        <w:spacing w:after="0" w:line="259" w:lineRule="auto"/>
        <w:ind w:left="720"/>
        <w:jc w:val="both"/>
        <w:rPr>
          <w:rFonts w:ascii="Roboto" w:hAnsi="Roboto" w:eastAsia="Roboto" w:cs="Roboto"/>
          <w:b/>
          <w:sz w:val="20"/>
          <w:szCs w:val="20"/>
        </w:rPr>
      </w:pPr>
    </w:p>
    <w:p w:rsidR="00BB0510" w:rsidRDefault="00C44607" w14:paraId="339BFA6F" w14:textId="77777777">
      <w:pPr>
        <w:numPr>
          <w:ilvl w:val="0"/>
          <w:numId w:val="1"/>
        </w:numPr>
        <w:shd w:val="clear" w:color="auto" w:fill="FFFFFF"/>
        <w:spacing w:after="0" w:line="259" w:lineRule="auto"/>
        <w:jc w:val="both"/>
        <w:rPr>
          <w:b/>
          <w:sz w:val="18"/>
          <w:szCs w:val="18"/>
        </w:rPr>
      </w:pPr>
      <w:r>
        <w:rPr>
          <w:rFonts w:ascii="Roboto" w:hAnsi="Roboto" w:eastAsia="Roboto" w:cs="Roboto"/>
          <w:b/>
          <w:color w:val="333333"/>
          <w:sz w:val="20"/>
          <w:szCs w:val="20"/>
        </w:rPr>
        <w:t>El Ministerio para la Transición Ecológica y el Reto Demográfico exige que los productores dispongan de un sistema de gestión capaz de demostrar en todo momento el c</w:t>
      </w:r>
      <w:r>
        <w:rPr>
          <w:rFonts w:ascii="Roboto" w:hAnsi="Roboto" w:eastAsia="Roboto" w:cs="Roboto"/>
          <w:b/>
          <w:color w:val="333333"/>
          <w:sz w:val="20"/>
          <w:szCs w:val="20"/>
        </w:rPr>
        <w:t xml:space="preserve">umplimiento de determinados requisitos </w:t>
      </w:r>
    </w:p>
    <w:p w:rsidR="00BB0510" w:rsidRDefault="00BB0510" w14:paraId="339BFA70" w14:textId="77777777">
      <w:pPr>
        <w:spacing w:after="0" w:line="259" w:lineRule="auto"/>
        <w:ind w:left="720"/>
        <w:rPr>
          <w:rFonts w:ascii="Roboto" w:hAnsi="Roboto" w:eastAsia="Roboto" w:cs="Roboto"/>
        </w:rPr>
      </w:pPr>
    </w:p>
    <w:p w:rsidR="00EA4716" w:rsidP="213E1C0D" w:rsidRDefault="00C44607" w14:paraId="603F4A4D" w14:textId="210CE58F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333333"/>
        </w:rPr>
      </w:pPr>
      <w:r w:rsidRPr="213E1C0D" w:rsidR="00C44607">
        <w:rPr>
          <w:rFonts w:ascii="Roboto" w:hAnsi="Roboto" w:eastAsia="Roboto" w:cs="Roboto"/>
        </w:rPr>
        <w:t xml:space="preserve">Madrid, 28 de febrero de 2022.-  </w:t>
      </w:r>
      <w:r w:rsidRPr="213E1C0D" w:rsidR="00C44607">
        <w:rPr>
          <w:rFonts w:ascii="Roboto" w:hAnsi="Roboto" w:eastAsia="Roboto" w:cs="Roboto"/>
        </w:rPr>
        <w:t xml:space="preserve">La </w:t>
      </w:r>
      <w:r>
        <w:fldChar w:fldCharType="begin"/>
      </w:r>
      <w:r>
        <w:instrText xml:space="preserve">HYPERLINK "https://www.enac.es/"</w:instrText>
      </w:r>
      <w:r>
        <w:fldChar w:fldCharType="separate"/>
      </w:r>
      <w:r w:rsidRPr="213E1C0D" w:rsidR="00C44607">
        <w:rPr>
          <w:rFonts w:ascii="Roboto" w:hAnsi="Roboto" w:eastAsia="Roboto" w:cs="Roboto"/>
        </w:rPr>
        <w:t xml:space="preserve">Entidad Nacional de Acreditación </w:t>
      </w:r>
      <w:r>
        <w:fldChar w:fldCharType="end"/>
      </w:r>
      <w:r w:rsidRPr="213E1C0D" w:rsidR="00C44607">
        <w:rPr>
          <w:rFonts w:ascii="Roboto" w:hAnsi="Roboto" w:eastAsia="Roboto" w:cs="Roboto"/>
        </w:rPr>
        <w:t>(ENAC)</w:t>
      </w:r>
      <w:r w:rsidRPr="213E1C0D" w:rsidR="00C44607">
        <w:rPr>
          <w:rFonts w:ascii="Roboto" w:hAnsi="Roboto" w:eastAsia="Roboto" w:cs="Roboto"/>
        </w:rPr>
        <w:t xml:space="preserve"> ha desarrollado un esquema de acreditación específico para las entidades que certifiquen sistemas de ges</w:t>
      </w:r>
      <w:r w:rsidRPr="213E1C0D" w:rsidR="00C44607">
        <w:rPr>
          <w:rFonts w:ascii="Roboto" w:hAnsi="Roboto" w:eastAsia="Roboto" w:cs="Roboto"/>
        </w:rPr>
        <w:t xml:space="preserve">tión y que deben cumplir el </w:t>
      </w:r>
      <w:r>
        <w:fldChar w:fldCharType="begin"/>
      </w:r>
      <w:r>
        <w:instrText xml:space="preserve">HYPERLINK "https://www.enac.es/web/enac/actualidad/certificacion-acreditada-fin-condicion-residuos"</w:instrText>
      </w:r>
      <w:r>
        <w:fldChar w:fldCharType="separate"/>
      </w:r>
      <w:r w:rsidRPr="213E1C0D" w:rsidR="00C44607">
        <w:rPr>
          <w:rFonts w:ascii="Roboto" w:hAnsi="Roboto" w:eastAsia="Roboto" w:cs="Roboto"/>
        </w:rPr>
        <w:t>conjunto de requisitos</w:t>
      </w:r>
      <w:r>
        <w:fldChar w:fldCharType="end"/>
      </w:r>
      <w:r w:rsidRPr="213E1C0D" w:rsidR="00C44607">
        <w:rPr>
          <w:rFonts w:ascii="Roboto" w:hAnsi="Roboto" w:eastAsia="Roboto" w:cs="Roboto"/>
        </w:rPr>
        <w:t xml:space="preserve"> incluidos en la </w:t>
      </w:r>
      <w:r>
        <w:fldChar w:fldCharType="begin"/>
      </w:r>
      <w:r>
        <w:instrText xml:space="preserve">HYPERLINK "https://www.boe.es/eli/es/o/2021/12/29/ted1522/dof/spa/pdf"</w:instrText>
      </w:r>
      <w:r>
        <w:fldChar w:fldCharType="separate"/>
      </w:r>
      <w:r w:rsidRPr="213E1C0D" w:rsidR="00C44607">
        <w:rPr>
          <w:rFonts w:ascii="Roboto" w:hAnsi="Roboto" w:eastAsia="Roboto" w:cs="Roboto"/>
        </w:rPr>
        <w:t>Orden Ministerial</w:t>
      </w:r>
      <w:r>
        <w:fldChar w:fldCharType="end"/>
      </w:r>
      <w:r w:rsidRPr="213E1C0D" w:rsidR="00C44607">
        <w:rPr>
          <w:rFonts w:ascii="Roboto" w:hAnsi="Roboto" w:eastAsia="Roboto" w:cs="Roboto"/>
        </w:rPr>
        <w:t xml:space="preserve"> </w:t>
      </w:r>
      <w:r w:rsidRPr="213E1C0D" w:rsidR="000C1E6F">
        <w:rPr>
          <w:rFonts w:ascii="Roboto" w:hAnsi="Roboto" w:eastAsia="Roboto" w:cs="Roboto"/>
        </w:rPr>
        <w:t xml:space="preserve">TED/1522/2021, </w:t>
      </w:r>
      <w:r w:rsidRPr="213E1C0D" w:rsidR="00C44607">
        <w:rPr>
          <w:rFonts w:ascii="Roboto" w:hAnsi="Roboto" w:eastAsia="Roboto" w:cs="Roboto"/>
        </w:rPr>
        <w:t xml:space="preserve">aprobada por </w:t>
      </w:r>
      <w:r w:rsidRPr="213E1C0D" w:rsidR="00C44607">
        <w:rPr>
          <w:rFonts w:ascii="Roboto" w:hAnsi="Roboto" w:eastAsia="Roboto" w:cs="Roboto"/>
          <w:color w:val="333333"/>
        </w:rPr>
        <w:t>e</w:t>
      </w:r>
      <w:r w:rsidRPr="213E1C0D" w:rsidR="00C44607">
        <w:rPr>
          <w:rFonts w:ascii="Roboto" w:hAnsi="Roboto" w:eastAsia="Roboto" w:cs="Roboto"/>
          <w:color w:val="333333"/>
        </w:rPr>
        <w:t>l Ministerio para la Transición Ecológica y el Reto Demográfico</w:t>
      </w:r>
      <w:r w:rsidRPr="213E1C0D" w:rsidR="001F0967">
        <w:rPr>
          <w:rFonts w:ascii="Roboto" w:hAnsi="Roboto" w:eastAsia="Roboto" w:cs="Roboto"/>
          <w:color w:val="333333"/>
        </w:rPr>
        <w:t xml:space="preserve">. </w:t>
      </w:r>
    </w:p>
    <w:p w:rsidR="00EA4716" w:rsidP="213E1C0D" w:rsidRDefault="00EA4716" w14:paraId="1010A6D8" w14:textId="77777777" w14:noSpellErr="1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333333"/>
        </w:rPr>
      </w:pPr>
    </w:p>
    <w:p w:rsidR="00BB0510" w:rsidP="213E1C0D" w:rsidRDefault="00C44607" w14:paraId="339BFA71" w14:textId="2501D75A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333333"/>
        </w:rPr>
      </w:pPr>
      <w:r w:rsidRPr="213E1C0D" w:rsidR="007B2B07">
        <w:rPr>
          <w:rFonts w:ascii="Roboto" w:hAnsi="Roboto" w:eastAsia="Roboto" w:cs="Roboto"/>
          <w:color w:val="333333"/>
        </w:rPr>
        <w:t xml:space="preserve">El objetivo de esta Orden es </w:t>
      </w:r>
      <w:r w:rsidRPr="213E1C0D" w:rsidR="00D328E4">
        <w:rPr>
          <w:rFonts w:ascii="Roboto" w:hAnsi="Roboto" w:eastAsia="Roboto" w:cs="Roboto"/>
          <w:color w:val="333333"/>
        </w:rPr>
        <w:t>establecer</w:t>
      </w:r>
      <w:r w:rsidRPr="213E1C0D" w:rsidR="007B2B07">
        <w:rPr>
          <w:rFonts w:ascii="Roboto" w:hAnsi="Roboto" w:eastAsia="Roboto" w:cs="Roboto"/>
          <w:color w:val="333333"/>
        </w:rPr>
        <w:t xml:space="preserve"> </w:t>
      </w:r>
      <w:r w:rsidRPr="213E1C0D" w:rsidR="005C3BDB">
        <w:rPr>
          <w:rFonts w:ascii="Roboto" w:hAnsi="Roboto" w:eastAsia="Roboto" w:cs="Roboto"/>
          <w:color w:val="333333"/>
        </w:rPr>
        <w:t xml:space="preserve">cuándo </w:t>
      </w:r>
      <w:r w:rsidRPr="213E1C0D" w:rsidR="00C44607">
        <w:rPr>
          <w:rFonts w:ascii="Roboto" w:hAnsi="Roboto" w:eastAsia="Roboto" w:cs="Roboto"/>
          <w:color w:val="333333"/>
        </w:rPr>
        <w:t>un</w:t>
      </w:r>
      <w:r w:rsidRPr="213E1C0D" w:rsidR="00083D6E">
        <w:rPr>
          <w:rFonts w:ascii="Roboto" w:hAnsi="Roboto" w:eastAsia="Roboto" w:cs="Roboto"/>
          <w:color w:val="333333"/>
        </w:rPr>
        <w:t xml:space="preserve">a serie </w:t>
      </w:r>
      <w:r w:rsidRPr="213E1C0D" w:rsidR="00C44607">
        <w:rPr>
          <w:rFonts w:ascii="Roboto" w:hAnsi="Roboto" w:eastAsia="Roboto" w:cs="Roboto"/>
          <w:color w:val="333333"/>
        </w:rPr>
        <w:t>determinad</w:t>
      </w:r>
      <w:r w:rsidRPr="213E1C0D" w:rsidR="00083D6E">
        <w:rPr>
          <w:rFonts w:ascii="Roboto" w:hAnsi="Roboto" w:eastAsia="Roboto" w:cs="Roboto"/>
          <w:color w:val="333333"/>
        </w:rPr>
        <w:t>a de</w:t>
      </w:r>
      <w:r w:rsidRPr="213E1C0D" w:rsidR="00C44607">
        <w:rPr>
          <w:rFonts w:ascii="Roboto" w:hAnsi="Roboto" w:eastAsia="Roboto" w:cs="Roboto"/>
          <w:color w:val="333333"/>
        </w:rPr>
        <w:t xml:space="preserve"> material</w:t>
      </w:r>
      <w:r w:rsidRPr="213E1C0D" w:rsidR="00083D6E">
        <w:rPr>
          <w:rFonts w:ascii="Roboto" w:hAnsi="Roboto" w:eastAsia="Roboto" w:cs="Roboto"/>
          <w:color w:val="333333"/>
        </w:rPr>
        <w:t>es</w:t>
      </w:r>
      <w:r w:rsidRPr="213E1C0D" w:rsidR="00C44607">
        <w:rPr>
          <w:rFonts w:ascii="Roboto" w:hAnsi="Roboto" w:eastAsia="Roboto" w:cs="Roboto"/>
          <w:color w:val="333333"/>
        </w:rPr>
        <w:t xml:space="preserve">, en concreto, </w:t>
      </w:r>
      <w:r w:rsidRPr="213E1C0D" w:rsidR="00C44607">
        <w:rPr>
          <w:rFonts w:ascii="Roboto" w:hAnsi="Roboto" w:eastAsia="Roboto" w:cs="Roboto"/>
          <w:color w:val="333333"/>
        </w:rPr>
        <w:t xml:space="preserve">caucho granulado y </w:t>
      </w:r>
      <w:r w:rsidRPr="213E1C0D" w:rsidR="00C44607">
        <w:rPr>
          <w:rFonts w:ascii="Roboto" w:hAnsi="Roboto" w:eastAsia="Roboto" w:cs="Roboto"/>
          <w:color w:val="333333"/>
        </w:rPr>
        <w:t xml:space="preserve">polvo de caucho, </w:t>
      </w:r>
      <w:r w:rsidRPr="213E1C0D" w:rsidR="00C44607">
        <w:rPr>
          <w:rFonts w:ascii="Roboto" w:hAnsi="Roboto" w:eastAsia="Roboto" w:cs="Roboto"/>
          <w:color w:val="333333"/>
        </w:rPr>
        <w:t>papel y cartón recup</w:t>
      </w:r>
      <w:r w:rsidRPr="213E1C0D" w:rsidR="00C44607">
        <w:rPr>
          <w:rFonts w:ascii="Roboto" w:hAnsi="Roboto" w:eastAsia="Roboto" w:cs="Roboto"/>
          <w:color w:val="333333"/>
        </w:rPr>
        <w:t>erados, aceites usados</w:t>
      </w:r>
      <w:r w:rsidRPr="213E1C0D" w:rsidR="00083D6E">
        <w:rPr>
          <w:rFonts w:ascii="Roboto" w:hAnsi="Roboto" w:eastAsia="Roboto" w:cs="Roboto"/>
          <w:color w:val="333333"/>
        </w:rPr>
        <w:t xml:space="preserve"> </w:t>
      </w:r>
      <w:r w:rsidRPr="213E1C0D" w:rsidR="00083D6E">
        <w:rPr>
          <w:rFonts w:ascii="Roboto" w:hAnsi="Roboto" w:eastAsia="Roboto" w:cs="Roboto"/>
          <w:color w:val="333333"/>
        </w:rPr>
        <w:t>y</w:t>
      </w:r>
      <w:r w:rsidRPr="213E1C0D" w:rsidR="00C44607">
        <w:rPr>
          <w:rFonts w:ascii="Roboto" w:hAnsi="Roboto" w:eastAsia="Roboto" w:cs="Roboto"/>
          <w:color w:val="333333"/>
        </w:rPr>
        <w:t xml:space="preserve"> residuos MARPOL</w:t>
      </w:r>
      <w:r w:rsidRPr="213E1C0D" w:rsidR="00083D6E">
        <w:rPr>
          <w:rFonts w:ascii="Roboto" w:hAnsi="Roboto" w:eastAsia="Roboto" w:cs="Roboto"/>
          <w:color w:val="333333"/>
        </w:rPr>
        <w:t>,</w:t>
      </w:r>
      <w:r w:rsidRPr="213E1C0D" w:rsidR="00C44607">
        <w:rPr>
          <w:rFonts w:ascii="Roboto" w:hAnsi="Roboto" w:eastAsia="Roboto" w:cs="Roboto"/>
          <w:color w:val="333333"/>
        </w:rPr>
        <w:t xml:space="preserve"> pued</w:t>
      </w:r>
      <w:r w:rsidRPr="213E1C0D" w:rsidR="00EA4716">
        <w:rPr>
          <w:rFonts w:ascii="Roboto" w:hAnsi="Roboto" w:eastAsia="Roboto" w:cs="Roboto"/>
          <w:color w:val="333333"/>
        </w:rPr>
        <w:t>e</w:t>
      </w:r>
      <w:r w:rsidRPr="213E1C0D" w:rsidR="00C44607">
        <w:rPr>
          <w:rFonts w:ascii="Roboto" w:hAnsi="Roboto" w:eastAsia="Roboto" w:cs="Roboto"/>
          <w:color w:val="333333"/>
        </w:rPr>
        <w:t xml:space="preserve">n, tras una operación de valorización, dejar de ser considerados un residuo, concepto que se ha denominado en la normativa como «fin de condición de residuo». </w:t>
      </w:r>
      <w:r w:rsidRPr="213E1C0D" w:rsidR="00EA4716">
        <w:rPr>
          <w:rFonts w:ascii="Roboto" w:hAnsi="Roboto" w:eastAsia="Roboto" w:cs="Roboto"/>
          <w:color w:val="333333"/>
        </w:rPr>
        <w:t>Los</w:t>
      </w:r>
      <w:r w:rsidRPr="213E1C0D" w:rsidR="00D328E4">
        <w:rPr>
          <w:rFonts w:ascii="Roboto" w:hAnsi="Roboto" w:eastAsia="Roboto" w:cs="Roboto"/>
          <w:color w:val="333333"/>
        </w:rPr>
        <w:t xml:space="preserve"> requisitos </w:t>
      </w:r>
      <w:r w:rsidRPr="213E1C0D" w:rsidR="00EA4716">
        <w:rPr>
          <w:rFonts w:ascii="Roboto" w:hAnsi="Roboto" w:eastAsia="Roboto" w:cs="Roboto"/>
          <w:color w:val="333333"/>
        </w:rPr>
        <w:t xml:space="preserve">recogidos en la Orden </w:t>
      </w:r>
      <w:r w:rsidRPr="213E1C0D" w:rsidR="00C44607">
        <w:rPr>
          <w:rFonts w:ascii="Roboto" w:hAnsi="Roboto" w:eastAsia="Roboto" w:cs="Roboto"/>
          <w:color w:val="333333"/>
        </w:rPr>
        <w:t>inciden en aspectos tales como la</w:t>
      </w:r>
      <w:r w:rsidRPr="213E1C0D" w:rsidR="00C44607">
        <w:rPr>
          <w:rFonts w:ascii="Roboto" w:hAnsi="Roboto" w:eastAsia="Roboto" w:cs="Roboto"/>
          <w:color w:val="333333"/>
        </w:rPr>
        <w:t xml:space="preserve"> selección y controles en la admisión, el proceso de transformación o los controles e inspecciones a realizar en el producto final y a lo largo del proceso y las metodologías de muestreo a utilizar, entre otras.</w:t>
      </w:r>
    </w:p>
    <w:p w:rsidR="00BB0510" w:rsidRDefault="00BB0510" w14:paraId="339BFA72" w14:textId="77777777">
      <w:pPr>
        <w:shd w:val="clear" w:color="auto" w:fill="FFFFFF"/>
        <w:spacing w:after="0" w:line="259" w:lineRule="auto"/>
        <w:jc w:val="both"/>
        <w:rPr>
          <w:rFonts w:ascii="Roboto" w:hAnsi="Roboto" w:eastAsia="Roboto" w:cs="Roboto"/>
          <w:color w:val="333333"/>
          <w:sz w:val="21"/>
          <w:szCs w:val="21"/>
        </w:rPr>
      </w:pPr>
    </w:p>
    <w:p w:rsidR="00BB0510" w:rsidP="213E1C0D" w:rsidRDefault="00C44607" w14:paraId="339BFA73" w14:textId="63C8B37D">
      <w:pPr>
        <w:shd w:val="clear" w:color="auto" w:fill="FFFFFF" w:themeFill="background1"/>
        <w:spacing w:after="160" w:line="259" w:lineRule="auto"/>
        <w:jc w:val="both"/>
        <w:rPr>
          <w:rFonts w:ascii="Roboto" w:hAnsi="Roboto" w:eastAsia="Roboto" w:cs="Roboto"/>
          <w:color w:val="333333"/>
          <w:sz w:val="21"/>
          <w:szCs w:val="21"/>
        </w:rPr>
      </w:pP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 xml:space="preserve">La Orden requiere también que </w:t>
      </w:r>
      <w:r w:rsidRPr="213E1C0D" w:rsidR="00C44607">
        <w:rPr>
          <w:rFonts w:ascii="Roboto" w:hAnsi="Roboto" w:eastAsia="Roboto" w:cs="Roboto"/>
          <w:b w:val="1"/>
          <w:bCs w:val="1"/>
          <w:color w:val="333333"/>
          <w:sz w:val="21"/>
          <w:szCs w:val="21"/>
        </w:rPr>
        <w:t>los productor</w:t>
      </w:r>
      <w:r w:rsidRPr="213E1C0D" w:rsidR="00C44607">
        <w:rPr>
          <w:rFonts w:ascii="Roboto" w:hAnsi="Roboto" w:eastAsia="Roboto" w:cs="Roboto"/>
          <w:b w:val="1"/>
          <w:bCs w:val="1"/>
          <w:color w:val="333333"/>
          <w:sz w:val="21"/>
          <w:szCs w:val="21"/>
        </w:rPr>
        <w:t>es dispongan de un sistema de gestión capaz de demostrar en todo momento el cumplimiento de dichos requisitos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>, sistema de gestión que deberá estar certificado por una entidad de certificación acreditada por ENAC o por otro organismo nacional de acreditació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 xml:space="preserve">n de un Estado </w:t>
      </w:r>
      <w:r w:rsidRPr="213E1C0D" w:rsidR="002C3046">
        <w:rPr>
          <w:rFonts w:ascii="Roboto" w:hAnsi="Roboto" w:eastAsia="Roboto" w:cs="Roboto"/>
          <w:color w:val="333333"/>
          <w:sz w:val="21"/>
          <w:szCs w:val="21"/>
        </w:rPr>
        <w:t>m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>iembro de la UE.</w:t>
      </w:r>
    </w:p>
    <w:p w:rsidR="00BB0510" w:rsidP="213E1C0D" w:rsidRDefault="00C44607" w14:paraId="339BFA74" w14:textId="458E285B">
      <w:pPr>
        <w:shd w:val="clear" w:color="auto" w:fill="FFFFFF" w:themeFill="background1"/>
        <w:spacing w:after="160" w:line="259" w:lineRule="auto"/>
        <w:jc w:val="both"/>
        <w:rPr>
          <w:rFonts w:ascii="Roboto" w:hAnsi="Roboto" w:eastAsia="Roboto" w:cs="Roboto"/>
          <w:color w:val="333333"/>
          <w:sz w:val="21"/>
          <w:szCs w:val="21"/>
        </w:rPr>
      </w:pP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 xml:space="preserve">El esquema de acreditado desarrollado por ENAC 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>para este tipo de certificación, RDE-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 xml:space="preserve">10, 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>está</w:t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 xml:space="preserve"> </w:t>
      </w:r>
      <w:hyperlink r:id="R4fd6949708794436">
        <w:r w:rsidRPr="213E1C0D" w:rsidR="00C44607">
          <w:rPr>
            <w:rFonts w:ascii="Roboto" w:hAnsi="Roboto" w:eastAsia="Roboto" w:cs="Roboto"/>
            <w:color w:val="auto"/>
            <w:sz w:val="21"/>
            <w:szCs w:val="21"/>
            <w:u w:val="none"/>
          </w:rPr>
          <w:t>disponible en</w:t>
        </w:r>
        <w:r w:rsidRPr="213E1C0D" w:rsidR="213E1C0D">
          <w:rPr>
            <w:rFonts w:ascii="Roboto" w:hAnsi="Roboto" w:eastAsia="Roboto" w:cs="Roboto"/>
            <w:color w:val="auto"/>
            <w:sz w:val="21"/>
            <w:szCs w:val="21"/>
            <w:u w:val="single"/>
          </w:rPr>
          <w:t xml:space="preserve"> </w:t>
        </w:r>
      </w:hyperlink>
      <w:r>
        <w:fldChar w:fldCharType="begin"/>
      </w:r>
      <w:r>
        <w:instrText xml:space="preserve">HYPERLINK "http://www.enac.es"</w:instrText>
      </w:r>
      <w:r>
        <w:fldChar w:fldCharType="separate"/>
      </w:r>
      <w:r w:rsidRPr="213E1C0D" w:rsidR="00C44607">
        <w:rPr>
          <w:rFonts w:ascii="Roboto" w:hAnsi="Roboto" w:eastAsia="Roboto" w:cs="Roboto"/>
          <w:color w:val="D91D24"/>
          <w:sz w:val="21"/>
          <w:szCs w:val="21"/>
          <w:u w:val="single"/>
        </w:rPr>
        <w:t>www.en</w:t>
      </w:r>
      <w:r w:rsidRPr="213E1C0D" w:rsidR="00C44607">
        <w:rPr>
          <w:rFonts w:ascii="Roboto" w:hAnsi="Roboto" w:eastAsia="Roboto" w:cs="Roboto"/>
          <w:color w:val="D91D24"/>
          <w:sz w:val="21"/>
          <w:szCs w:val="21"/>
          <w:u w:val="single"/>
        </w:rPr>
        <w:t>ac.es</w:t>
      </w:r>
      <w:r>
        <w:fldChar w:fldCharType="end"/>
      </w:r>
      <w:r w:rsidRPr="213E1C0D" w:rsidR="00C44607">
        <w:rPr>
          <w:rFonts w:ascii="Roboto" w:hAnsi="Roboto" w:eastAsia="Roboto" w:cs="Roboto"/>
          <w:color w:val="333333"/>
          <w:sz w:val="21"/>
          <w:szCs w:val="21"/>
        </w:rPr>
        <w:t>.</w:t>
      </w:r>
    </w:p>
    <w:p w:rsidR="00BB0510" w:rsidP="213E1C0D" w:rsidRDefault="00C44607" w14:paraId="339BFA77" w14:textId="65AA2120">
      <w:pPr>
        <w:pStyle w:val="Normal"/>
        <w:shd w:val="clear" w:color="auto" w:fill="FFFFFF" w:themeFill="background1"/>
        <w:spacing w:after="160" w:line="259" w:lineRule="auto"/>
        <w:jc w:val="both"/>
        <w:rPr>
          <w:rFonts w:ascii="Roboto" w:hAnsi="Roboto" w:eastAsia="Roboto" w:cs="Roboto"/>
          <w:color w:val="auto"/>
          <w:sz w:val="20"/>
          <w:szCs w:val="20"/>
          <w:u w:val="single"/>
        </w:rPr>
      </w:pPr>
      <w:r w:rsidRPr="213E1C0D" w:rsidR="00C44607">
        <w:rPr>
          <w:rFonts w:ascii="Roboto" w:hAnsi="Roboto" w:eastAsia="Roboto" w:cs="Roboto"/>
          <w:sz w:val="20"/>
          <w:szCs w:val="20"/>
        </w:rPr>
        <w:t xml:space="preserve"> </w:t>
      </w:r>
      <w:r w:rsidRPr="213E1C0D" w:rsidR="00C44607">
        <w:rPr>
          <w:rFonts w:ascii="Roboto" w:hAnsi="Roboto" w:eastAsia="Roboto" w:cs="Roboto"/>
          <w:b w:val="1"/>
          <w:bCs w:val="1"/>
          <w:color w:val="auto"/>
          <w:sz w:val="20"/>
          <w:szCs w:val="20"/>
          <w:u w:val="single"/>
        </w:rPr>
        <w:t>Confianza de la Administración española en la acreditación de ENAC</w:t>
      </w:r>
      <w:r w:rsidRPr="213E1C0D" w:rsidR="00C44607">
        <w:rPr>
          <w:rFonts w:ascii="Roboto" w:hAnsi="Roboto" w:eastAsia="Roboto" w:cs="Roboto"/>
          <w:color w:val="auto"/>
          <w:sz w:val="20"/>
          <w:szCs w:val="20"/>
          <w:u w:val="single"/>
        </w:rPr>
        <w:t xml:space="preserve"> </w:t>
      </w:r>
    </w:p>
    <w:p w:rsidR="00BB0510" w:rsidP="213E1C0D" w:rsidRDefault="00BB0510" w14:paraId="339BFA78" w14:textId="77777777" w14:noSpellErr="1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auto"/>
          <w:sz w:val="20"/>
          <w:szCs w:val="20"/>
        </w:rPr>
      </w:pPr>
    </w:p>
    <w:p w:rsidR="00BB0510" w:rsidP="213E1C0D" w:rsidRDefault="00C44607" w14:paraId="339BFA79" w14:textId="77777777" w14:noSpellErr="1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auto"/>
          <w:sz w:val="20"/>
          <w:szCs w:val="20"/>
        </w:rPr>
      </w:pP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 xml:space="preserve">Esta nueva reglamentación demuestra, una vez más, la confianza que la Administración Pública deposita en la acreditación como herramienta para garantizar la seguridad e integridad de las </w:t>
      </w: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>actividades de evaluación de la conformidad; en este caso, relacionad</w:t>
      </w: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 xml:space="preserve">as con un asunto de capital importancia en las agendas públicas de todo el mundo: la gestión de los residuos.   </w:t>
      </w:r>
    </w:p>
    <w:p w:rsidR="00BB0510" w:rsidP="213E1C0D" w:rsidRDefault="00BB0510" w14:paraId="339BFA7A" w14:textId="77777777" w14:noSpellErr="1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auto"/>
          <w:sz w:val="20"/>
          <w:szCs w:val="20"/>
        </w:rPr>
      </w:pPr>
    </w:p>
    <w:p w:rsidR="00BB0510" w:rsidP="213E1C0D" w:rsidRDefault="00C44607" w14:paraId="339BFA7B" w14:textId="77777777" w14:noSpellErr="1">
      <w:pPr>
        <w:shd w:val="clear" w:color="auto" w:fill="FFFFFF" w:themeFill="background1"/>
        <w:spacing w:after="0" w:line="259" w:lineRule="auto"/>
        <w:jc w:val="both"/>
        <w:rPr>
          <w:rFonts w:ascii="Roboto" w:hAnsi="Roboto" w:eastAsia="Roboto" w:cs="Roboto"/>
          <w:color w:val="auto"/>
          <w:sz w:val="20"/>
          <w:szCs w:val="20"/>
        </w:rPr>
      </w:pP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>Para que un sistema de gestión aporte el nivel de confianza requerido por todos los agentes implicados, es imprescindible que las entidades de</w:t>
      </w: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 xml:space="preserve"> certificación que lo avalen sean técnicamente competentes, independientes, fiables y percibidas como tales por todos aquellos que han de confiar en la veracidad y valor de sus certificados. Esta garantía es la que ofrecen los servicios acreditados por ENA</w:t>
      </w: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>C: solo las entidades acreditadas han demostrado su competencia e imparcialidad ante una tercera parte independiente, ante quien han evidenciado que disponen de los medios necesarios para ofrecer el servicio de certificación con el rigor necesario para ser</w:t>
      </w:r>
      <w:r w:rsidRPr="213E1C0D" w:rsidR="00C44607">
        <w:rPr>
          <w:rFonts w:ascii="Roboto" w:hAnsi="Roboto" w:eastAsia="Roboto" w:cs="Roboto"/>
          <w:color w:val="auto"/>
          <w:sz w:val="20"/>
          <w:szCs w:val="20"/>
        </w:rPr>
        <w:t xml:space="preserve"> aceptadas por el mercado.  </w:t>
      </w:r>
    </w:p>
    <w:p w:rsidR="00BB0510" w:rsidP="213E1C0D" w:rsidRDefault="00BB0510" w14:paraId="339BFA7C" w14:textId="77777777" w14:noSpellErr="1">
      <w:pPr>
        <w:spacing w:after="160" w:line="259" w:lineRule="auto"/>
        <w:jc w:val="both"/>
        <w:rPr>
          <w:rFonts w:ascii="Roboto" w:hAnsi="Roboto" w:eastAsia="Roboto" w:cs="Roboto"/>
          <w:b w:val="1"/>
          <w:bCs w:val="1"/>
          <w:color w:val="auto"/>
          <w:sz w:val="20"/>
          <w:szCs w:val="20"/>
        </w:rPr>
      </w:pPr>
    </w:p>
    <w:p w:rsidRPr="00BA1B87" w:rsidR="00BB0510" w:rsidRDefault="00C44607" w14:paraId="339BFA7D" w14:textId="77777777">
      <w:pPr>
        <w:jc w:val="both"/>
        <w:rPr>
          <w:rFonts w:ascii="Roboto" w:hAnsi="Roboto" w:eastAsia="Roboto" w:cs="Roboto"/>
          <w:b/>
          <w:sz w:val="20"/>
          <w:szCs w:val="20"/>
        </w:rPr>
      </w:pPr>
      <w:r w:rsidRPr="00BA1B87">
        <w:rPr>
          <w:rFonts w:ascii="Roboto" w:hAnsi="Roboto" w:eastAsia="Roboto" w:cs="Roboto"/>
          <w:b/>
          <w:sz w:val="20"/>
          <w:szCs w:val="20"/>
        </w:rPr>
        <w:t>Sobre ENAC</w:t>
      </w:r>
    </w:p>
    <w:p w:rsidR="00BB0510" w:rsidRDefault="00C44607" w14:paraId="339BFA7E" w14:textId="550880C5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La Entidad Nacional de Acreditación – ENAC – es la entidad designada por el Gobierno para operar en España como el único Organismo Nacional de Acreditación, en aplicación del Reglamento (CE) nº</w:t>
      </w:r>
      <w:r w:rsidR="00BA1B87">
        <w:rPr>
          <w:rFonts w:ascii="Roboto" w:hAnsi="Roboto" w:eastAsia="Roboto" w:cs="Roboto"/>
          <w:sz w:val="20"/>
          <w:szCs w:val="20"/>
        </w:rPr>
        <w:t>.</w:t>
      </w:r>
      <w:r>
        <w:rPr>
          <w:rFonts w:ascii="Roboto" w:hAnsi="Roboto" w:eastAsia="Roboto" w:cs="Roboto"/>
          <w:sz w:val="20"/>
          <w:szCs w:val="20"/>
        </w:rPr>
        <w:t>765/2008 del Parlamento Europeo que regula el funcionamiento d</w:t>
      </w:r>
      <w:r>
        <w:rPr>
          <w:rFonts w:ascii="Roboto" w:hAnsi="Roboto" w:eastAsia="Roboto" w:cs="Roboto"/>
          <w:sz w:val="20"/>
          <w:szCs w:val="20"/>
        </w:rPr>
        <w:t>e la acreditación en Europa.</w:t>
      </w:r>
    </w:p>
    <w:p w:rsidR="00BB0510" w:rsidRDefault="00C44607" w14:paraId="339BFA7F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color w:val="1F497D"/>
          <w:sz w:val="20"/>
          <w:szCs w:val="20"/>
        </w:rPr>
        <w:t> </w:t>
      </w:r>
    </w:p>
    <w:p w:rsidR="00BB0510" w:rsidRDefault="00C44607" w14:paraId="339BFA80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ENAC tiene como misión generar confianza en el mercado y en la sociedad evaluando, a través de un sistema conforme a normas internacionales, la competencia técnica de laboratorios de ensayo o calibración, entidades de inspecc</w:t>
      </w:r>
      <w:r>
        <w:rPr>
          <w:rFonts w:ascii="Roboto" w:hAnsi="Roboto" w:eastAsia="Roboto" w:cs="Roboto"/>
          <w:sz w:val="20"/>
          <w:szCs w:val="20"/>
        </w:rPr>
        <w:t>ión, entidades de certificación y verificadores medioambientales que desarrollen su actividad en cualquier sector: industria,  energía, medio ambiente, sanidad, alimentación, investigación, desarrollo e innovación, transportes, telecomunicaciones, turismo,</w:t>
      </w:r>
      <w:r>
        <w:rPr>
          <w:rFonts w:ascii="Roboto" w:hAnsi="Roboto" w:eastAsia="Roboto" w:cs="Roboto"/>
          <w:sz w:val="20"/>
          <w:szCs w:val="20"/>
        </w:rPr>
        <w:t xml:space="preserve"> servicios, construcción, etc. Contribuye, así, a la seguridad y el bienestar de las personas, la calidad de los productos y servicios, la protección del medioambiente y, con ello, al aumento de la competitividad de los productos y servicios españoles y a </w:t>
      </w:r>
      <w:r>
        <w:rPr>
          <w:rFonts w:ascii="Roboto" w:hAnsi="Roboto" w:eastAsia="Roboto" w:cs="Roboto"/>
          <w:sz w:val="20"/>
          <w:szCs w:val="20"/>
        </w:rPr>
        <w:t>una disminución de los costes para la sociedad debidos a estas actividades. </w:t>
      </w:r>
    </w:p>
    <w:p w:rsidR="00BB0510" w:rsidRDefault="00C44607" w14:paraId="339BFA81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 </w:t>
      </w:r>
    </w:p>
    <w:p w:rsidR="00BB0510" w:rsidRDefault="00C44607" w14:paraId="339BFA82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La marca ENAC es la manera de distinguir si un certificado o informe está acreditado o no. Es la garantía de que la organización que lo emite es técnicamente competente para lle</w:t>
      </w:r>
      <w:r>
        <w:rPr>
          <w:rFonts w:ascii="Roboto" w:hAnsi="Roboto" w:eastAsia="Roboto" w:cs="Roboto"/>
          <w:sz w:val="20"/>
          <w:szCs w:val="20"/>
        </w:rPr>
        <w:t>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BB0510" w:rsidRDefault="00BB0510" w14:paraId="339BFA83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00BB0510" w:rsidRDefault="00BB0510" w14:paraId="339BFA84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</w:p>
    <w:p w:rsidR="00BB0510" w:rsidRDefault="00C44607" w14:paraId="339BFA85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  <w:hyperlink r:id="rId11">
        <w:r>
          <w:rPr>
            <w:rFonts w:ascii="Roboto" w:hAnsi="Roboto" w:eastAsia="Roboto" w:cs="Roboto"/>
            <w:color w:val="E83544"/>
            <w:sz w:val="20"/>
            <w:szCs w:val="20"/>
            <w:u w:val="single"/>
          </w:rPr>
          <w:t>www.enac.es</w:t>
        </w:r>
      </w:hyperlink>
      <w:r>
        <w:rPr>
          <w:rFonts w:ascii="Roboto" w:hAnsi="Roboto" w:eastAsia="Roboto" w:cs="Roboto"/>
          <w:color w:val="E83544"/>
          <w:sz w:val="20"/>
          <w:szCs w:val="20"/>
        </w:rPr>
        <w:t xml:space="preserve"> </w:t>
      </w:r>
    </w:p>
    <w:p w:rsidR="00BB0510" w:rsidRDefault="00BB0510" w14:paraId="339BFA86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</w:p>
    <w:p w:rsidR="00BB0510" w:rsidRDefault="00C44607" w14:paraId="339BFA87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color w:val="0000FF"/>
          <w:sz w:val="20"/>
          <w:szCs w:val="20"/>
        </w:rPr>
        <w:t xml:space="preserve"> </w:t>
      </w:r>
      <w:r>
        <w:rPr>
          <w:rFonts w:ascii="Roboto" w:hAnsi="Roboto" w:eastAsia="Roboto" w:cs="Roboto"/>
          <w:noProof/>
          <w:color w:val="0000FF"/>
          <w:sz w:val="20"/>
          <w:szCs w:val="20"/>
        </w:rPr>
        <w:drawing>
          <wp:inline distT="0" distB="0" distL="0" distR="0" wp14:anchorId="339BFA90" wp14:editId="339BFA91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hAnsi="Roboto" w:eastAsia="Roboto" w:cs="Roboto"/>
          <w:color w:val="0000FF"/>
          <w:sz w:val="20"/>
          <w:szCs w:val="20"/>
        </w:rPr>
        <w:t xml:space="preserve">  </w:t>
      </w:r>
      <w:r>
        <w:rPr>
          <w:rFonts w:ascii="Roboto" w:hAnsi="Roboto" w:eastAsia="Roboto" w:cs="Roboto"/>
          <w:noProof/>
          <w:color w:val="0000FF"/>
          <w:sz w:val="20"/>
          <w:szCs w:val="20"/>
        </w:rPr>
        <w:drawing>
          <wp:inline distT="0" distB="0" distL="0" distR="0" wp14:anchorId="339BFA92" wp14:editId="339BFA93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0510" w:rsidRDefault="00BB0510" w14:paraId="339BFA88" w14:textId="77777777">
      <w:pPr>
        <w:pBdr>
          <w:bottom w:val="single" w:color="000000" w:sz="12" w:space="1"/>
        </w:pBd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</w:p>
    <w:p w:rsidR="00BB0510" w:rsidRDefault="00BB0510" w14:paraId="339BFA89" w14:textId="77777777">
      <w:pPr>
        <w:spacing w:after="0" w:line="240" w:lineRule="auto"/>
        <w:jc w:val="both"/>
        <w:rPr>
          <w:rFonts w:ascii="Roboto" w:hAnsi="Roboto" w:eastAsia="Roboto" w:cs="Roboto"/>
          <w:color w:val="E83544"/>
          <w:sz w:val="20"/>
          <w:szCs w:val="20"/>
        </w:rPr>
      </w:pPr>
    </w:p>
    <w:p w:rsidR="00BB0510" w:rsidRDefault="00C44607" w14:paraId="339BFA8A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Para más información sobre la nota de prensa, resolver dudas o gestionar entrevistas</w:t>
      </w:r>
    </w:p>
    <w:p w:rsidR="00BB0510" w:rsidRDefault="00C44607" w14:paraId="339BFA8B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>Eva Martín</w:t>
      </w:r>
    </w:p>
    <w:p w:rsidR="00BB0510" w:rsidRDefault="00C44607" w14:paraId="339BFA8C" w14:textId="77777777">
      <w:pPr>
        <w:spacing w:after="0" w:line="240" w:lineRule="auto"/>
        <w:jc w:val="both"/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sz w:val="20"/>
          <w:szCs w:val="20"/>
        </w:rPr>
        <w:t xml:space="preserve">Tfno. 628 17 49 01 / </w:t>
      </w:r>
      <w:r>
        <w:rPr>
          <w:rFonts w:ascii="Roboto" w:hAnsi="Roboto" w:eastAsia="Roboto" w:cs="Roboto"/>
          <w:color w:val="E83544"/>
          <w:sz w:val="20"/>
          <w:szCs w:val="20"/>
        </w:rPr>
        <w:t xml:space="preserve"> </w:t>
      </w:r>
      <w:hyperlink r:id="rId14">
        <w:r>
          <w:rPr>
            <w:rFonts w:ascii="Roboto" w:hAnsi="Roboto" w:eastAsia="Roboto" w:cs="Roboto"/>
            <w:color w:val="E83544"/>
            <w:sz w:val="20"/>
            <w:szCs w:val="20"/>
            <w:u w:val="single"/>
          </w:rPr>
          <w:t>evamc@varenga.es</w:t>
        </w:r>
      </w:hyperlink>
    </w:p>
    <w:p w:rsidR="00BB0510" w:rsidRDefault="00BB0510" w14:paraId="339BFA8D" w14:textId="77777777">
      <w:pPr>
        <w:rPr>
          <w:rFonts w:ascii="Roboto" w:hAnsi="Roboto" w:eastAsia="Roboto" w:cs="Roboto"/>
          <w:sz w:val="20"/>
          <w:szCs w:val="20"/>
        </w:rPr>
      </w:pPr>
    </w:p>
    <w:p w:rsidR="00BB0510" w:rsidRDefault="00BB0510" w14:paraId="339BFA8E" w14:textId="77777777">
      <w:pPr>
        <w:spacing w:after="0" w:line="240" w:lineRule="auto"/>
        <w:rPr>
          <w:b/>
          <w:u w:val="single"/>
        </w:rPr>
      </w:pPr>
    </w:p>
    <w:p w:rsidR="00BB0510" w:rsidRDefault="00BB0510" w14:paraId="339BFA8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bookmarkStart w:name="_gjdgxs" w:colFirst="0" w:colLast="0" w:id="48"/>
      <w:bookmarkEnd w:id="48"/>
    </w:p>
    <w:sectPr w:rsidR="00BB0510">
      <w:headerReference w:type="default" r:id="rId15"/>
      <w:footerReference w:type="default" r:id="rId16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44607" w14:paraId="65AB38F3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44607" w14:paraId="51658A98" w14:textId="77777777">
      <w:pPr>
        <w:spacing w:after="0" w:line="240" w:lineRule="auto"/>
      </w:pPr>
      <w:r>
        <w:continuationSeparator/>
      </w:r>
    </w:p>
  </w:endnote>
  <w:endnote w:type="continuationNotice" w:id="1">
    <w:p w:rsidR="008C1ADA" w:rsidRDefault="008C1ADA" w14:paraId="16D824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510" w:rsidRDefault="00C44607" w14:paraId="339BFA95" w14:textId="6D3D5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7604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44607" w14:paraId="07327A52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44607" w14:paraId="17252FA2" w14:textId="77777777">
      <w:pPr>
        <w:spacing w:after="0" w:line="240" w:lineRule="auto"/>
      </w:pPr>
      <w:r>
        <w:continuationSeparator/>
      </w:r>
    </w:p>
  </w:footnote>
  <w:footnote w:type="continuationNotice" w:id="1">
    <w:p w:rsidR="008C1ADA" w:rsidRDefault="008C1ADA" w14:paraId="245B4E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B0510" w:rsidRDefault="00C44607" w14:paraId="339BFA9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9BFA96" wp14:editId="339BFA97">
          <wp:simplePos x="0" y="0"/>
          <wp:positionH relativeFrom="column">
            <wp:posOffset>4200525</wp:posOffset>
          </wp:positionH>
          <wp:positionV relativeFrom="paragraph">
            <wp:posOffset>-390524</wp:posOffset>
          </wp:positionV>
          <wp:extent cx="1284153" cy="931439"/>
          <wp:effectExtent l="0" t="0" r="0" b="0"/>
          <wp:wrapNone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153" cy="931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1CA"/>
    <w:multiLevelType w:val="multilevel"/>
    <w:tmpl w:val="37923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markup="0"/>
  <w:trackRevisions w:val="tru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10"/>
    <w:rsid w:val="00072B5F"/>
    <w:rsid w:val="00083D6E"/>
    <w:rsid w:val="000B209B"/>
    <w:rsid w:val="000C1E6F"/>
    <w:rsid w:val="001C6F3C"/>
    <w:rsid w:val="001F0967"/>
    <w:rsid w:val="0024196F"/>
    <w:rsid w:val="002C3046"/>
    <w:rsid w:val="00321C0C"/>
    <w:rsid w:val="00534D67"/>
    <w:rsid w:val="005C3BDB"/>
    <w:rsid w:val="00771F1C"/>
    <w:rsid w:val="007B2B07"/>
    <w:rsid w:val="00854EAC"/>
    <w:rsid w:val="008722A6"/>
    <w:rsid w:val="008C1ADA"/>
    <w:rsid w:val="00B76048"/>
    <w:rsid w:val="00BA1B87"/>
    <w:rsid w:val="00BB0510"/>
    <w:rsid w:val="00C44607"/>
    <w:rsid w:val="00C70A42"/>
    <w:rsid w:val="00D165C9"/>
    <w:rsid w:val="00D30500"/>
    <w:rsid w:val="00D328E4"/>
    <w:rsid w:val="00EA4716"/>
    <w:rsid w:val="00F013BE"/>
    <w:rsid w:val="00F07349"/>
    <w:rsid w:val="00FD7405"/>
    <w:rsid w:val="1D65C2F0"/>
    <w:rsid w:val="213E1C0D"/>
    <w:rsid w:val="430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FA6B"/>
  <w15:docId w15:val="{20E3B074-FB4A-45A9-A0C1-819CF635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13BE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7604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8C1AD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8C1ADA"/>
  </w:style>
  <w:style w:type="paragraph" w:styleId="Piedepgina">
    <w:name w:val="footer"/>
    <w:basedOn w:val="Normal"/>
    <w:link w:val="PiedepginaCar"/>
    <w:uiPriority w:val="99"/>
    <w:semiHidden/>
    <w:unhideWhenUsed/>
    <w:rsid w:val="008C1AD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8C1ADA"/>
  </w:style>
  <w:style w:type="table" w:styleId="TableNormal1" w:customStyle="1">
    <w:name w:val="Table Normal1"/>
    <w:rsid w:val="008C1AD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0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enac.es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vamc@varenga.es" TargetMode="External" Id="rId14" /><Relationship Type="http://schemas.openxmlformats.org/officeDocument/2006/relationships/hyperlink" Target="https://www.enac.es/documents/7020/062fd0b8-32a5-44c8-a432-1e46126f62ea?version=3.0" TargetMode="External" Id="R4fd69497087944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E7CEF-95BA-4B72-A4B0-9F84F2B9AFFB}">
  <ds:schemaRefs>
    <ds:schemaRef ds:uri="http://schemas.microsoft.com/office/2006/metadata/properties"/>
    <ds:schemaRef ds:uri="http://schemas.openxmlformats.org/package/2006/metadata/core-properties"/>
    <ds:schemaRef ds:uri="6e290ce1-b2e7-4ccb-948d-a290ef611fa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09e21e3-a2e2-47ca-be0e-9c3a9bef92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535FDA-A37D-4C4F-92C3-34BC40578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616F8-5197-408B-B007-022CB6289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Diaz Pozo</dc:creator>
  <cp:lastModifiedBy>Eva Martín</cp:lastModifiedBy>
  <cp:revision>22</cp:revision>
  <dcterms:created xsi:type="dcterms:W3CDTF">2022-02-24T08:40:00Z</dcterms:created>
  <dcterms:modified xsi:type="dcterms:W3CDTF">2022-03-07T16:22:02Z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