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3868" w14:textId="77777777" w:rsidR="002232D8" w:rsidRDefault="002232D8">
      <w:pPr>
        <w:jc w:val="both"/>
        <w:rPr>
          <w:rFonts w:ascii="Roboto" w:eastAsia="Roboto" w:hAnsi="Roboto" w:cs="Roboto"/>
          <w:b/>
          <w:sz w:val="28"/>
          <w:szCs w:val="28"/>
        </w:rPr>
      </w:pPr>
    </w:p>
    <w:p w14:paraId="41E93869" w14:textId="77777777" w:rsidR="002232D8" w:rsidRDefault="002232D8">
      <w:pPr>
        <w:spacing w:line="276" w:lineRule="auto"/>
        <w:jc w:val="both"/>
        <w:rPr>
          <w:rFonts w:ascii="Roboto" w:eastAsia="Roboto" w:hAnsi="Roboto" w:cs="Roboto"/>
          <w:sz w:val="18"/>
          <w:szCs w:val="18"/>
          <w:u w:val="single"/>
        </w:rPr>
      </w:pPr>
    </w:p>
    <w:p w14:paraId="41E9386A" w14:textId="77777777" w:rsidR="002232D8" w:rsidRDefault="00A75871">
      <w:pPr>
        <w:spacing w:line="276" w:lineRule="auto"/>
        <w:jc w:val="center"/>
        <w:rPr>
          <w:rFonts w:ascii="Roboto" w:eastAsia="Roboto" w:hAnsi="Roboto" w:cs="Roboto"/>
          <w:b/>
          <w:sz w:val="32"/>
          <w:szCs w:val="32"/>
          <w:highlight w:val="white"/>
        </w:rPr>
      </w:pPr>
      <w:r>
        <w:rPr>
          <w:rFonts w:ascii="Roboto" w:eastAsia="Roboto" w:hAnsi="Roboto" w:cs="Roboto"/>
          <w:b/>
          <w:sz w:val="32"/>
          <w:szCs w:val="32"/>
          <w:highlight w:val="white"/>
        </w:rPr>
        <w:t xml:space="preserve">La Policía Científica, acreditada por ENAC para inspecciones técnico-policiales en la escena del crimen </w:t>
      </w:r>
    </w:p>
    <w:p w14:paraId="41E9386B" w14:textId="77777777" w:rsidR="002232D8" w:rsidRDefault="002232D8">
      <w:pPr>
        <w:spacing w:line="276" w:lineRule="auto"/>
        <w:jc w:val="center"/>
        <w:rPr>
          <w:rFonts w:ascii="Roboto" w:eastAsia="Roboto" w:hAnsi="Roboto" w:cs="Roboto"/>
          <w:b/>
          <w:sz w:val="36"/>
          <w:szCs w:val="36"/>
          <w:highlight w:val="white"/>
        </w:rPr>
      </w:pPr>
    </w:p>
    <w:p w14:paraId="41E9386C" w14:textId="77777777" w:rsidR="002232D8" w:rsidRDefault="00A75871" w:rsidP="782FA924">
      <w:pPr>
        <w:numPr>
          <w:ilvl w:val="0"/>
          <w:numId w:val="1"/>
        </w:numPr>
        <w:jc w:val="both"/>
        <w:rPr>
          <w:rFonts w:ascii="Roboto" w:eastAsia="Roboto" w:hAnsi="Roboto" w:cs="Roboto"/>
          <w:b/>
          <w:bCs/>
          <w:sz w:val="20"/>
          <w:szCs w:val="20"/>
        </w:rPr>
      </w:pPr>
      <w:r w:rsidRPr="782FA924">
        <w:rPr>
          <w:rFonts w:ascii="Roboto" w:eastAsia="Roboto" w:hAnsi="Roboto" w:cs="Roboto"/>
          <w:b/>
          <w:bCs/>
          <w:sz w:val="20"/>
          <w:szCs w:val="20"/>
        </w:rPr>
        <w:t>“</w:t>
      </w:r>
      <w:r w:rsidRPr="782FA924">
        <w:rPr>
          <w:rFonts w:ascii="Roboto" w:eastAsia="Roboto" w:hAnsi="Roboto" w:cs="Roboto"/>
          <w:b/>
          <w:bCs/>
          <w:sz w:val="20"/>
          <w:szCs w:val="20"/>
          <w:highlight w:val="white"/>
        </w:rPr>
        <w:t>Es notoria la seguridad con la que nuestro personal acude al ser llamados a declarar oralmente en relación con dichos informes, debido especialmente al respaldo que les aporta un sistema de calidad acreditado por ENAC</w:t>
      </w:r>
      <w:r w:rsidRPr="782FA924">
        <w:rPr>
          <w:rFonts w:ascii="Roboto" w:eastAsia="Roboto" w:hAnsi="Roboto" w:cs="Roboto"/>
          <w:b/>
          <w:bCs/>
          <w:sz w:val="20"/>
          <w:szCs w:val="20"/>
        </w:rPr>
        <w:t xml:space="preserve">”, D. Mario Rica Matea, Inspector </w:t>
      </w:r>
      <w:bookmarkStart w:id="0" w:name="_Int_UIPpsUWi"/>
      <w:r w:rsidRPr="782FA924">
        <w:rPr>
          <w:rFonts w:ascii="Roboto" w:eastAsia="Roboto" w:hAnsi="Roboto" w:cs="Roboto"/>
          <w:b/>
          <w:bCs/>
          <w:sz w:val="20"/>
          <w:szCs w:val="20"/>
        </w:rPr>
        <w:t>Jefe</w:t>
      </w:r>
      <w:bookmarkEnd w:id="0"/>
      <w:r w:rsidRPr="782FA924">
        <w:rPr>
          <w:rFonts w:ascii="Roboto" w:eastAsia="Roboto" w:hAnsi="Roboto" w:cs="Roboto"/>
          <w:b/>
          <w:bCs/>
          <w:sz w:val="20"/>
          <w:szCs w:val="20"/>
        </w:rPr>
        <w:t xml:space="preserve"> y </w:t>
      </w:r>
      <w:bookmarkStart w:id="1" w:name="_Int_D1nrCBHB"/>
      <w:r w:rsidRPr="782FA924">
        <w:rPr>
          <w:rFonts w:ascii="Roboto" w:eastAsia="Roboto" w:hAnsi="Roboto" w:cs="Roboto"/>
          <w:b/>
          <w:bCs/>
          <w:sz w:val="20"/>
          <w:szCs w:val="20"/>
        </w:rPr>
        <w:t>Jefe</w:t>
      </w:r>
      <w:bookmarkEnd w:id="1"/>
      <w:r w:rsidRPr="782FA924">
        <w:rPr>
          <w:rFonts w:ascii="Roboto" w:eastAsia="Roboto" w:hAnsi="Roboto" w:cs="Roboto"/>
          <w:b/>
          <w:bCs/>
          <w:sz w:val="20"/>
          <w:szCs w:val="20"/>
        </w:rPr>
        <w:t xml:space="preserve"> de la Sección de Calidad de la Comisaría General de Policía Científica.</w:t>
      </w:r>
    </w:p>
    <w:p w14:paraId="41E9386D" w14:textId="77777777" w:rsidR="002232D8" w:rsidRDefault="002232D8">
      <w:pPr>
        <w:ind w:left="720"/>
        <w:jc w:val="both"/>
        <w:rPr>
          <w:rFonts w:ascii="Roboto" w:eastAsia="Roboto" w:hAnsi="Roboto" w:cs="Roboto"/>
          <w:b/>
          <w:color w:val="FF0000"/>
          <w:sz w:val="22"/>
          <w:szCs w:val="22"/>
        </w:rPr>
      </w:pPr>
    </w:p>
    <w:p w14:paraId="41E9386E" w14:textId="0605A628" w:rsidR="002232D8" w:rsidRDefault="00A75871">
      <w:pPr>
        <w:jc w:val="both"/>
        <w:rPr>
          <w:rFonts w:ascii="Roboto" w:eastAsia="Roboto" w:hAnsi="Roboto" w:cs="Roboto"/>
          <w:sz w:val="22"/>
          <w:szCs w:val="22"/>
        </w:rPr>
      </w:pPr>
      <w:r w:rsidRPr="782FA924">
        <w:rPr>
          <w:rFonts w:ascii="Roboto" w:eastAsia="Roboto" w:hAnsi="Roboto" w:cs="Roboto"/>
          <w:sz w:val="22"/>
          <w:szCs w:val="22"/>
        </w:rPr>
        <w:t xml:space="preserve">Madrid, 04 de mayo de 2022- La </w:t>
      </w:r>
      <w:r w:rsidRPr="782FA924">
        <w:rPr>
          <w:rFonts w:ascii="Roboto" w:eastAsia="Roboto" w:hAnsi="Roboto" w:cs="Roboto"/>
          <w:b/>
          <w:bCs/>
          <w:sz w:val="22"/>
          <w:szCs w:val="22"/>
        </w:rPr>
        <w:t xml:space="preserve">Unidad Central de Investigación Científica y Técnica </w:t>
      </w:r>
      <w:r w:rsidRPr="782FA924">
        <w:rPr>
          <w:rFonts w:ascii="Roboto" w:eastAsia="Roboto" w:hAnsi="Roboto" w:cs="Roboto"/>
          <w:sz w:val="22"/>
          <w:szCs w:val="22"/>
        </w:rPr>
        <w:t xml:space="preserve">(UCICT) de la Comisaría General de Policía Científica continúa ampliando el alcance de su acreditación, incorporando, en esta ocasión, en colaboración con la Unidad Central de Coordinación Operativa (UCCO), la acreditación de ENAC, la </w:t>
      </w:r>
      <w:hyperlink r:id="rId10">
        <w:r w:rsidRPr="782FA924">
          <w:rPr>
            <w:rFonts w:ascii="Roboto" w:eastAsia="Roboto" w:hAnsi="Roboto" w:cs="Roboto"/>
            <w:color w:val="1155CC"/>
            <w:sz w:val="22"/>
            <w:szCs w:val="22"/>
            <w:u w:val="single"/>
          </w:rPr>
          <w:t>Entidad Nacional de Acreditación</w:t>
        </w:r>
      </w:hyperlink>
      <w:r w:rsidRPr="782FA924">
        <w:rPr>
          <w:rFonts w:ascii="Roboto" w:eastAsia="Roboto" w:hAnsi="Roboto" w:cs="Roboto"/>
          <w:sz w:val="22"/>
          <w:szCs w:val="22"/>
        </w:rPr>
        <w:t>, conforme a la norma ISO 17020 para la realización de inspecciones técnico-policiales en la escena de un delito, un esquema desarrollado en colaboración con las instituciones y cuerpos de seguridad.</w:t>
      </w:r>
    </w:p>
    <w:p w14:paraId="3634E5E2" w14:textId="77777777" w:rsidR="00614F11" w:rsidRDefault="00614F11" w:rsidP="00112DCB">
      <w:pPr>
        <w:jc w:val="both"/>
        <w:rPr>
          <w:rFonts w:ascii="Roboto" w:eastAsia="Roboto" w:hAnsi="Roboto" w:cs="Roboto"/>
          <w:sz w:val="22"/>
          <w:szCs w:val="22"/>
          <w:highlight w:val="white"/>
        </w:rPr>
      </w:pPr>
    </w:p>
    <w:p w14:paraId="34D1F374" w14:textId="0BFE4F4D" w:rsidR="00112DCB" w:rsidRDefault="00112DCB" w:rsidP="00112DCB">
      <w:pPr>
        <w:jc w:val="both"/>
        <w:rPr>
          <w:rFonts w:ascii="Roboto" w:eastAsia="Roboto" w:hAnsi="Roboto" w:cs="Roboto"/>
          <w:sz w:val="22"/>
          <w:szCs w:val="22"/>
          <w:highlight w:val="white"/>
        </w:rPr>
      </w:pPr>
      <w:r w:rsidRPr="782FA924">
        <w:rPr>
          <w:rFonts w:ascii="Roboto" w:eastAsia="Roboto" w:hAnsi="Roboto" w:cs="Roboto"/>
          <w:sz w:val="22"/>
          <w:szCs w:val="22"/>
          <w:highlight w:val="white"/>
        </w:rPr>
        <w:t>Las inspecciones técnico-policiales (</w:t>
      </w:r>
      <w:proofErr w:type="spellStart"/>
      <w:r w:rsidRPr="782FA924">
        <w:rPr>
          <w:rFonts w:ascii="Roboto" w:eastAsia="Roboto" w:hAnsi="Roboto" w:cs="Roboto"/>
          <w:sz w:val="22"/>
          <w:szCs w:val="22"/>
          <w:highlight w:val="white"/>
        </w:rPr>
        <w:t>ITPs</w:t>
      </w:r>
      <w:proofErr w:type="spellEnd"/>
      <w:r w:rsidRPr="782FA924">
        <w:rPr>
          <w:rFonts w:ascii="Roboto" w:eastAsia="Roboto" w:hAnsi="Roboto" w:cs="Roboto"/>
          <w:sz w:val="22"/>
          <w:szCs w:val="22"/>
          <w:highlight w:val="white"/>
        </w:rPr>
        <w:t xml:space="preserve">), también conocidas como inspecciones oculares, son la piedra angular sobre la que se soporta el proceso forense. El principio por el que en un hecho criminal siempre se produce alguna transferencia entre los tres elementos básicos de un crimen como son el lugar del hecho, la víctima y el autor, nos obliga a llevar a cabo la mejor ITP posible. </w:t>
      </w:r>
    </w:p>
    <w:p w14:paraId="37E3EC38" w14:textId="77777777" w:rsidR="00112DCB" w:rsidRDefault="00112DCB" w:rsidP="00112DCB">
      <w:pPr>
        <w:jc w:val="both"/>
        <w:rPr>
          <w:rFonts w:ascii="Roboto" w:eastAsia="Roboto" w:hAnsi="Roboto" w:cs="Roboto"/>
          <w:sz w:val="22"/>
          <w:szCs w:val="22"/>
          <w:highlight w:val="white"/>
        </w:rPr>
      </w:pPr>
    </w:p>
    <w:p w14:paraId="68AE907E" w14:textId="045615F4" w:rsidR="00112DCB" w:rsidRDefault="00DE2C99" w:rsidP="00112DCB">
      <w:pPr>
        <w:jc w:val="both"/>
        <w:rPr>
          <w:rFonts w:ascii="Roboto" w:eastAsia="Roboto" w:hAnsi="Roboto" w:cs="Roboto"/>
          <w:sz w:val="22"/>
          <w:szCs w:val="22"/>
        </w:rPr>
      </w:pPr>
      <w:r w:rsidRPr="782FA924">
        <w:rPr>
          <w:rFonts w:ascii="Roboto" w:eastAsia="Roboto" w:hAnsi="Roboto" w:cs="Roboto"/>
          <w:sz w:val="22"/>
          <w:szCs w:val="22"/>
        </w:rPr>
        <w:t>D. Mario Rica Matea,</w:t>
      </w:r>
      <w:r w:rsidRPr="782FA924">
        <w:rPr>
          <w:rFonts w:ascii="Roboto" w:eastAsia="Roboto" w:hAnsi="Roboto" w:cs="Roboto"/>
          <w:b/>
          <w:bCs/>
          <w:sz w:val="22"/>
          <w:szCs w:val="22"/>
        </w:rPr>
        <w:t xml:space="preserve"> Inspector Jefe y Jefe de la Sección de Calidad de la Comisaría General de Policía Científica</w:t>
      </w:r>
      <w:r w:rsidRPr="782FA924">
        <w:rPr>
          <w:rFonts w:ascii="Roboto" w:eastAsia="Roboto" w:hAnsi="Roboto" w:cs="Roboto"/>
          <w:sz w:val="22"/>
          <w:szCs w:val="22"/>
        </w:rPr>
        <w:t xml:space="preserve"> destaca </w:t>
      </w:r>
      <w:r w:rsidR="00112DCB" w:rsidRPr="782FA924">
        <w:rPr>
          <w:rFonts w:ascii="Roboto" w:eastAsia="Roboto" w:hAnsi="Roboto" w:cs="Roboto"/>
          <w:sz w:val="22"/>
          <w:szCs w:val="22"/>
          <w:highlight w:val="white"/>
        </w:rPr>
        <w:t xml:space="preserve">que “llevar a cabo dicha inspección bajo unos protocolos estandarizados y acreditados conforme a una norma reconocida internacionalmente aporta </w:t>
      </w:r>
      <w:r w:rsidR="00112DCB" w:rsidRPr="782FA924">
        <w:rPr>
          <w:rFonts w:ascii="Roboto" w:eastAsia="Roboto" w:hAnsi="Roboto" w:cs="Roboto"/>
          <w:b/>
          <w:bCs/>
          <w:sz w:val="22"/>
          <w:szCs w:val="22"/>
          <w:highlight w:val="white"/>
        </w:rPr>
        <w:t xml:space="preserve">un plus de confianza en los resultados finales y mejora el resto de los pasos en la investigación, tanto desde el punto de vista del proceso forense </w:t>
      </w:r>
      <w:r w:rsidR="00112DCB" w:rsidRPr="782FA924">
        <w:rPr>
          <w:rFonts w:ascii="Roboto" w:eastAsia="Roboto" w:hAnsi="Roboto" w:cs="Roboto"/>
          <w:sz w:val="22"/>
          <w:szCs w:val="22"/>
          <w:highlight w:val="white"/>
        </w:rPr>
        <w:t xml:space="preserve">(analíticas que hay que llevar a cabo sobre los vestigios recogidos), </w:t>
      </w:r>
      <w:r w:rsidR="00112DCB" w:rsidRPr="782FA924">
        <w:rPr>
          <w:rFonts w:ascii="Roboto" w:eastAsia="Roboto" w:hAnsi="Roboto" w:cs="Roboto"/>
          <w:b/>
          <w:bCs/>
          <w:sz w:val="22"/>
          <w:szCs w:val="22"/>
          <w:highlight w:val="white"/>
        </w:rPr>
        <w:t>como policialmente,</w:t>
      </w:r>
      <w:r w:rsidR="00112DCB" w:rsidRPr="782FA924">
        <w:rPr>
          <w:rFonts w:ascii="Roboto" w:eastAsia="Roboto" w:hAnsi="Roboto" w:cs="Roboto"/>
          <w:sz w:val="22"/>
          <w:szCs w:val="22"/>
          <w:highlight w:val="white"/>
        </w:rPr>
        <w:t xml:space="preserve"> al descartar desde el inicio opciones inverosímiles o no sujetas al método científico que en todo caso consumiría recursos innecesariamente”. </w:t>
      </w:r>
    </w:p>
    <w:p w14:paraId="41E9386F" w14:textId="77777777" w:rsidR="002232D8" w:rsidRDefault="002232D8">
      <w:pPr>
        <w:jc w:val="both"/>
        <w:rPr>
          <w:rFonts w:ascii="Roboto" w:eastAsia="Roboto" w:hAnsi="Roboto" w:cs="Roboto"/>
          <w:sz w:val="22"/>
          <w:szCs w:val="22"/>
        </w:rPr>
      </w:pPr>
    </w:p>
    <w:p w14:paraId="41E93870" w14:textId="65281779" w:rsidR="002232D8" w:rsidRDefault="00A42C4D">
      <w:pPr>
        <w:jc w:val="both"/>
        <w:rPr>
          <w:rFonts w:ascii="Roboto" w:eastAsia="Roboto" w:hAnsi="Roboto" w:cs="Roboto"/>
          <w:sz w:val="22"/>
          <w:szCs w:val="22"/>
        </w:rPr>
      </w:pPr>
      <w:r w:rsidRPr="782FA924">
        <w:rPr>
          <w:rFonts w:ascii="Roboto" w:eastAsia="Roboto" w:hAnsi="Roboto" w:cs="Roboto"/>
          <w:sz w:val="22"/>
          <w:szCs w:val="22"/>
        </w:rPr>
        <w:t>Asimismo, destaca</w:t>
      </w:r>
      <w:r w:rsidR="00FF732F" w:rsidRPr="782FA924">
        <w:rPr>
          <w:rFonts w:ascii="Roboto" w:eastAsia="Roboto" w:hAnsi="Roboto" w:cs="Roboto"/>
          <w:sz w:val="22"/>
          <w:szCs w:val="22"/>
        </w:rPr>
        <w:t xml:space="preserve"> </w:t>
      </w:r>
      <w:r w:rsidR="00510B2C" w:rsidRPr="782FA924">
        <w:rPr>
          <w:rFonts w:ascii="Roboto" w:eastAsia="Roboto" w:hAnsi="Roboto" w:cs="Roboto"/>
          <w:sz w:val="22"/>
          <w:szCs w:val="22"/>
        </w:rPr>
        <w:t>la seguridad que aporta a</w:t>
      </w:r>
      <w:r w:rsidR="00254AE3" w:rsidRPr="782FA924">
        <w:rPr>
          <w:rFonts w:ascii="Roboto" w:eastAsia="Roboto" w:hAnsi="Roboto" w:cs="Roboto"/>
          <w:sz w:val="22"/>
          <w:szCs w:val="22"/>
        </w:rPr>
        <w:t>l personal de la Policía Científica</w:t>
      </w:r>
      <w:r w:rsidR="00EB52A0" w:rsidRPr="782FA924">
        <w:rPr>
          <w:rFonts w:ascii="Roboto" w:eastAsia="Roboto" w:hAnsi="Roboto" w:cs="Roboto"/>
          <w:sz w:val="22"/>
          <w:szCs w:val="22"/>
        </w:rPr>
        <w:t>: “L</w:t>
      </w:r>
      <w:r w:rsidR="00A75871" w:rsidRPr="782FA924">
        <w:rPr>
          <w:rFonts w:ascii="Roboto" w:eastAsia="Roboto" w:hAnsi="Roboto" w:cs="Roboto"/>
          <w:sz w:val="22"/>
          <w:szCs w:val="22"/>
        </w:rPr>
        <w:t xml:space="preserve">a acreditación otorgada ha sido un refuerzo en la confianza de nuestros informes de resultados en cuanto a su valoración en sede judicial y el intercambio de datos por parte de otros cuerpos policiales tanto a nivel nacional como internacional. Es notoria la seguridad con la que nuestro personal acude al ser llamados a declarar oralmente en relación con dichos informes, debido especialmente al respaldo que les aporta un sistema de calidad acreditado por ENAC”. </w:t>
      </w:r>
    </w:p>
    <w:p w14:paraId="41E93871" w14:textId="77777777" w:rsidR="002232D8" w:rsidRDefault="002232D8">
      <w:pPr>
        <w:jc w:val="both"/>
        <w:rPr>
          <w:rFonts w:ascii="Roboto" w:eastAsia="Roboto" w:hAnsi="Roboto" w:cs="Roboto"/>
          <w:sz w:val="22"/>
          <w:szCs w:val="22"/>
        </w:rPr>
      </w:pPr>
    </w:p>
    <w:p w14:paraId="41E93872" w14:textId="1ED87131" w:rsidR="002232D8" w:rsidRDefault="00A75871">
      <w:pPr>
        <w:jc w:val="both"/>
        <w:rPr>
          <w:rFonts w:ascii="Roboto" w:eastAsia="Roboto" w:hAnsi="Roboto" w:cs="Roboto"/>
          <w:sz w:val="22"/>
          <w:szCs w:val="22"/>
        </w:rPr>
      </w:pPr>
      <w:r>
        <w:rPr>
          <w:rFonts w:ascii="Roboto" w:eastAsia="Roboto" w:hAnsi="Roboto" w:cs="Roboto"/>
          <w:sz w:val="22"/>
          <w:szCs w:val="22"/>
        </w:rPr>
        <w:t xml:space="preserve">Además, resalta el </w:t>
      </w:r>
      <w:r>
        <w:rPr>
          <w:rFonts w:ascii="Roboto" w:eastAsia="Roboto" w:hAnsi="Roboto" w:cs="Roboto"/>
          <w:b/>
          <w:sz w:val="22"/>
          <w:szCs w:val="22"/>
        </w:rPr>
        <w:t>alcance internacional</w:t>
      </w:r>
      <w:r>
        <w:rPr>
          <w:rFonts w:ascii="Roboto" w:eastAsia="Roboto" w:hAnsi="Roboto" w:cs="Roboto"/>
          <w:sz w:val="22"/>
          <w:szCs w:val="22"/>
        </w:rPr>
        <w:t xml:space="preserve"> de este reconocimiento ya que “es importante formar parte de redes forenses como la red europea ENFSI, </w:t>
      </w:r>
      <w:r>
        <w:rPr>
          <w:rFonts w:ascii="Roboto" w:eastAsia="Roboto" w:hAnsi="Roboto" w:cs="Roboto"/>
          <w:b/>
          <w:sz w:val="22"/>
          <w:szCs w:val="22"/>
        </w:rPr>
        <w:t>que exige estar acreditado en especialidades forenses relacionadas con la identificación</w:t>
      </w:r>
      <w:r>
        <w:rPr>
          <w:rFonts w:ascii="Roboto" w:eastAsia="Roboto" w:hAnsi="Roboto" w:cs="Roboto"/>
          <w:sz w:val="22"/>
          <w:szCs w:val="22"/>
        </w:rPr>
        <w:t xml:space="preserve"> (</w:t>
      </w:r>
      <w:proofErr w:type="spellStart"/>
      <w:r>
        <w:rPr>
          <w:rFonts w:ascii="Roboto" w:eastAsia="Roboto" w:hAnsi="Roboto" w:cs="Roboto"/>
          <w:sz w:val="22"/>
          <w:szCs w:val="22"/>
        </w:rPr>
        <w:t>Lofoscopia</w:t>
      </w:r>
      <w:proofErr w:type="spellEnd"/>
      <w:r>
        <w:rPr>
          <w:rFonts w:ascii="Roboto" w:eastAsia="Roboto" w:hAnsi="Roboto" w:cs="Roboto"/>
          <w:sz w:val="22"/>
          <w:szCs w:val="22"/>
        </w:rPr>
        <w:t xml:space="preserve"> y ADN) y la recomendación de tener dicha acreditación, también en el resto de </w:t>
      </w:r>
      <w:r w:rsidR="00725186">
        <w:rPr>
          <w:rFonts w:ascii="Roboto" w:eastAsia="Roboto" w:hAnsi="Roboto" w:cs="Roboto"/>
          <w:sz w:val="22"/>
          <w:szCs w:val="22"/>
        </w:rPr>
        <w:t xml:space="preserve">las </w:t>
      </w:r>
      <w:r>
        <w:rPr>
          <w:rFonts w:ascii="Roboto" w:eastAsia="Roboto" w:hAnsi="Roboto" w:cs="Roboto"/>
          <w:sz w:val="22"/>
          <w:szCs w:val="22"/>
        </w:rPr>
        <w:t xml:space="preserve">especialidades que cada institución desarrolla, así como en la inspección ocular técnico policial”. </w:t>
      </w:r>
    </w:p>
    <w:p w14:paraId="5472601D" w14:textId="77777777" w:rsidR="00725186" w:rsidRDefault="00725186">
      <w:pPr>
        <w:jc w:val="both"/>
        <w:rPr>
          <w:rFonts w:ascii="Roboto" w:eastAsia="Roboto" w:hAnsi="Roboto" w:cs="Roboto"/>
          <w:sz w:val="22"/>
          <w:szCs w:val="22"/>
        </w:rPr>
      </w:pPr>
    </w:p>
    <w:p w14:paraId="41E9387B" w14:textId="42DE1406" w:rsidR="002232D8" w:rsidRDefault="00A75871">
      <w:pPr>
        <w:jc w:val="both"/>
        <w:rPr>
          <w:rFonts w:ascii="Roboto" w:eastAsia="Roboto" w:hAnsi="Roboto" w:cs="Roboto"/>
          <w:sz w:val="22"/>
          <w:szCs w:val="22"/>
        </w:rPr>
      </w:pPr>
      <w:r>
        <w:rPr>
          <w:rFonts w:ascii="Roboto" w:eastAsia="Roboto" w:hAnsi="Roboto" w:cs="Roboto"/>
          <w:sz w:val="22"/>
          <w:szCs w:val="22"/>
        </w:rPr>
        <w:lastRenderedPageBreak/>
        <w:t>P</w:t>
      </w:r>
      <w:r w:rsidR="00A55CC3">
        <w:rPr>
          <w:rFonts w:ascii="Roboto" w:eastAsia="Roboto" w:hAnsi="Roboto" w:cs="Roboto"/>
          <w:sz w:val="22"/>
          <w:szCs w:val="22"/>
        </w:rPr>
        <w:t>or todo ello, p</w:t>
      </w:r>
      <w:r>
        <w:rPr>
          <w:rFonts w:ascii="Roboto" w:eastAsia="Roboto" w:hAnsi="Roboto" w:cs="Roboto"/>
          <w:sz w:val="22"/>
          <w:szCs w:val="22"/>
        </w:rPr>
        <w:t xml:space="preserve">ara el Inspector </w:t>
      </w:r>
      <w:bookmarkStart w:id="2" w:name="_Int_KpjnpKia"/>
      <w:r>
        <w:rPr>
          <w:rFonts w:ascii="Roboto" w:eastAsia="Roboto" w:hAnsi="Roboto" w:cs="Roboto"/>
          <w:sz w:val="22"/>
          <w:szCs w:val="22"/>
        </w:rPr>
        <w:t>Jefe</w:t>
      </w:r>
      <w:bookmarkEnd w:id="2"/>
      <w:r>
        <w:rPr>
          <w:rFonts w:ascii="Roboto" w:eastAsia="Roboto" w:hAnsi="Roboto" w:cs="Roboto"/>
          <w:sz w:val="22"/>
          <w:szCs w:val="22"/>
        </w:rPr>
        <w:t xml:space="preserve"> y </w:t>
      </w:r>
      <w:bookmarkStart w:id="3" w:name="_Int_ZNNCH9XO"/>
      <w:r>
        <w:rPr>
          <w:rFonts w:ascii="Roboto" w:eastAsia="Roboto" w:hAnsi="Roboto" w:cs="Roboto"/>
          <w:sz w:val="22"/>
          <w:szCs w:val="22"/>
        </w:rPr>
        <w:t>Jefe</w:t>
      </w:r>
      <w:bookmarkEnd w:id="3"/>
      <w:r>
        <w:rPr>
          <w:rFonts w:ascii="Roboto" w:eastAsia="Roboto" w:hAnsi="Roboto" w:cs="Roboto"/>
          <w:sz w:val="22"/>
          <w:szCs w:val="22"/>
        </w:rPr>
        <w:t xml:space="preserve"> de la Sección de Calidad de la Comisaría General de Policía Científica</w:t>
      </w:r>
      <w:r w:rsidR="00D02F73" w:rsidRPr="782FA924">
        <w:rPr>
          <w:rFonts w:ascii="Roboto" w:eastAsia="Roboto" w:hAnsi="Roboto" w:cs="Roboto"/>
          <w:sz w:val="22"/>
          <w:szCs w:val="22"/>
        </w:rPr>
        <w:t>,</w:t>
      </w:r>
      <w:r>
        <w:rPr>
          <w:rFonts w:ascii="Roboto" w:eastAsia="Roboto" w:hAnsi="Roboto" w:cs="Roboto"/>
          <w:sz w:val="22"/>
          <w:szCs w:val="22"/>
        </w:rPr>
        <w:t xml:space="preserve"> éste era el momento </w:t>
      </w:r>
      <w:r w:rsidR="007E4BBE">
        <w:rPr>
          <w:rFonts w:ascii="Roboto" w:eastAsia="Roboto" w:hAnsi="Roboto" w:cs="Roboto"/>
          <w:sz w:val="22"/>
          <w:szCs w:val="22"/>
        </w:rPr>
        <w:t>con</w:t>
      </w:r>
      <w:r w:rsidR="00926F55">
        <w:rPr>
          <w:rFonts w:ascii="Roboto" w:eastAsia="Roboto" w:hAnsi="Roboto" w:cs="Roboto"/>
          <w:sz w:val="22"/>
          <w:szCs w:val="22"/>
        </w:rPr>
        <w:t>tinuar</w:t>
      </w:r>
      <w:r>
        <w:rPr>
          <w:rFonts w:ascii="Roboto" w:eastAsia="Roboto" w:hAnsi="Roboto" w:cs="Roboto"/>
          <w:sz w:val="22"/>
          <w:szCs w:val="22"/>
        </w:rPr>
        <w:t xml:space="preserve"> </w:t>
      </w:r>
      <w:r w:rsidR="00926F55">
        <w:rPr>
          <w:rFonts w:ascii="Roboto" w:eastAsia="Roboto" w:hAnsi="Roboto" w:cs="Roboto"/>
          <w:sz w:val="22"/>
          <w:szCs w:val="22"/>
        </w:rPr>
        <w:t xml:space="preserve">ampliando </w:t>
      </w:r>
      <w:r>
        <w:rPr>
          <w:rFonts w:ascii="Roboto" w:eastAsia="Roboto" w:hAnsi="Roboto" w:cs="Roboto"/>
          <w:sz w:val="22"/>
          <w:szCs w:val="22"/>
        </w:rPr>
        <w:t xml:space="preserve">la acreditación </w:t>
      </w:r>
      <w:r w:rsidR="002471C5">
        <w:rPr>
          <w:rFonts w:ascii="Roboto" w:eastAsia="Roboto" w:hAnsi="Roboto" w:cs="Roboto"/>
          <w:sz w:val="22"/>
          <w:szCs w:val="22"/>
        </w:rPr>
        <w:t xml:space="preserve">para aportar las máximas garantías a las </w:t>
      </w:r>
      <w:proofErr w:type="spellStart"/>
      <w:r w:rsidR="002471C5">
        <w:rPr>
          <w:rFonts w:ascii="Roboto" w:eastAsia="Roboto" w:hAnsi="Roboto" w:cs="Roboto"/>
          <w:sz w:val="22"/>
          <w:szCs w:val="22"/>
        </w:rPr>
        <w:t>ITP</w:t>
      </w:r>
      <w:r w:rsidR="00F96398">
        <w:rPr>
          <w:rFonts w:ascii="Roboto" w:eastAsia="Roboto" w:hAnsi="Roboto" w:cs="Roboto"/>
          <w:sz w:val="22"/>
          <w:szCs w:val="22"/>
        </w:rPr>
        <w:t>s</w:t>
      </w:r>
      <w:proofErr w:type="spellEnd"/>
      <w:r w:rsidR="00194B83">
        <w:rPr>
          <w:rFonts w:ascii="Roboto" w:eastAsia="Roboto" w:hAnsi="Roboto" w:cs="Roboto"/>
          <w:sz w:val="22"/>
          <w:szCs w:val="22"/>
        </w:rPr>
        <w:t>:</w:t>
      </w:r>
      <w:r>
        <w:rPr>
          <w:rFonts w:ascii="Roboto" w:eastAsia="Roboto" w:hAnsi="Roboto" w:cs="Roboto"/>
          <w:sz w:val="22"/>
          <w:szCs w:val="22"/>
        </w:rPr>
        <w:t xml:space="preserve"> “</w:t>
      </w:r>
      <w:r w:rsidR="00194B83">
        <w:rPr>
          <w:rFonts w:ascii="Roboto" w:eastAsia="Roboto" w:hAnsi="Roboto" w:cs="Roboto"/>
          <w:sz w:val="22"/>
          <w:szCs w:val="22"/>
        </w:rPr>
        <w:t>D</w:t>
      </w:r>
      <w:r>
        <w:rPr>
          <w:rFonts w:ascii="Roboto" w:eastAsia="Roboto" w:hAnsi="Roboto" w:cs="Roboto"/>
          <w:sz w:val="22"/>
          <w:szCs w:val="22"/>
        </w:rPr>
        <w:t xml:space="preserve">espués de más de 10 años de tener acreditadas actividades forenses de laboratorio, entendimos que había llegado el </w:t>
      </w:r>
      <w:r w:rsidRPr="782FA924">
        <w:rPr>
          <w:rFonts w:ascii="Roboto" w:eastAsia="Roboto" w:hAnsi="Roboto" w:cs="Roboto"/>
          <w:b/>
          <w:bCs/>
          <w:sz w:val="22"/>
          <w:szCs w:val="22"/>
        </w:rPr>
        <w:t>momento de cumplir con las recomendaciones de la UE y las garantías judiciales</w:t>
      </w:r>
      <w:r w:rsidR="008946A1" w:rsidRPr="782FA924">
        <w:rPr>
          <w:rFonts w:ascii="Roboto" w:eastAsia="Roboto" w:hAnsi="Roboto" w:cs="Roboto"/>
          <w:b/>
          <w:bCs/>
          <w:sz w:val="22"/>
          <w:szCs w:val="22"/>
        </w:rPr>
        <w:t xml:space="preserve">. </w:t>
      </w:r>
      <w:r w:rsidR="008946A1">
        <w:rPr>
          <w:rFonts w:ascii="Roboto" w:hAnsi="Roboto"/>
          <w:color w:val="333333"/>
          <w:sz w:val="21"/>
          <w:szCs w:val="21"/>
          <w:shd w:val="clear" w:color="auto" w:fill="FFFFFF"/>
        </w:rPr>
        <w:t>Todo nos empujaba a buscar la acreditación del proceso inicial por el que los vestigios llegaban a los laboratorios para ser analizados con protocolos acreditados y eso fue lo que hicimos.</w:t>
      </w:r>
      <w:r>
        <w:rPr>
          <w:rFonts w:ascii="Roboto" w:eastAsia="Roboto" w:hAnsi="Roboto" w:cs="Roboto"/>
          <w:sz w:val="22"/>
          <w:szCs w:val="22"/>
        </w:rPr>
        <w:t xml:space="preserve">” </w:t>
      </w:r>
    </w:p>
    <w:p w14:paraId="375CABB9" w14:textId="77777777" w:rsidR="000A43A4" w:rsidRDefault="000A43A4">
      <w:pPr>
        <w:jc w:val="both"/>
        <w:rPr>
          <w:rFonts w:ascii="Roboto" w:eastAsia="Roboto" w:hAnsi="Roboto" w:cs="Roboto"/>
          <w:sz w:val="22"/>
          <w:szCs w:val="22"/>
        </w:rPr>
      </w:pPr>
    </w:p>
    <w:p w14:paraId="75DE852F" w14:textId="7E6C6E62" w:rsidR="000A43A4" w:rsidRDefault="000A43A4">
      <w:pPr>
        <w:jc w:val="both"/>
        <w:rPr>
          <w:rFonts w:ascii="Roboto" w:eastAsia="Roboto" w:hAnsi="Roboto" w:cs="Roboto"/>
          <w:sz w:val="22"/>
          <w:szCs w:val="22"/>
        </w:rPr>
      </w:pPr>
      <w:r>
        <w:rPr>
          <w:rFonts w:ascii="Roboto" w:eastAsia="Roboto" w:hAnsi="Roboto" w:cs="Roboto"/>
          <w:sz w:val="22"/>
          <w:szCs w:val="22"/>
        </w:rPr>
        <w:t xml:space="preserve">Puede consultar la entrevista completa en el </w:t>
      </w:r>
      <w:hyperlink r:id="rId11" w:history="1">
        <w:r w:rsidRPr="00A22E23">
          <w:rPr>
            <w:rStyle w:val="Hipervnculo"/>
            <w:rFonts w:ascii="Roboto" w:eastAsia="Roboto" w:hAnsi="Roboto" w:cs="Roboto"/>
            <w:sz w:val="22"/>
            <w:szCs w:val="22"/>
          </w:rPr>
          <w:t>siguiente enlace</w:t>
        </w:r>
      </w:hyperlink>
      <w:r w:rsidR="00A22E23">
        <w:rPr>
          <w:rFonts w:ascii="Roboto" w:eastAsia="Roboto" w:hAnsi="Roboto" w:cs="Roboto"/>
          <w:sz w:val="22"/>
          <w:szCs w:val="22"/>
        </w:rPr>
        <w:t>.</w:t>
      </w:r>
    </w:p>
    <w:p w14:paraId="41E9387C" w14:textId="77777777" w:rsidR="002232D8" w:rsidRDefault="002232D8">
      <w:pPr>
        <w:jc w:val="both"/>
        <w:rPr>
          <w:rFonts w:ascii="Roboto" w:eastAsia="Roboto" w:hAnsi="Roboto" w:cs="Roboto"/>
          <w:sz w:val="22"/>
          <w:szCs w:val="22"/>
        </w:rPr>
      </w:pPr>
    </w:p>
    <w:p w14:paraId="41E93880" w14:textId="260E33C6" w:rsidR="002232D8" w:rsidRDefault="002232D8" w:rsidP="782FA924">
      <w:pPr>
        <w:jc w:val="both"/>
        <w:rPr>
          <w:rFonts w:ascii="Roboto" w:eastAsia="Roboto" w:hAnsi="Roboto" w:cs="Roboto"/>
          <w:sz w:val="22"/>
          <w:szCs w:val="22"/>
        </w:rPr>
      </w:pPr>
    </w:p>
    <w:p w14:paraId="41E93881" w14:textId="77777777" w:rsidR="002232D8" w:rsidRDefault="00A75871">
      <w:pPr>
        <w:spacing w:after="200" w:line="276" w:lineRule="auto"/>
        <w:jc w:val="both"/>
        <w:rPr>
          <w:rFonts w:ascii="Roboto" w:eastAsia="Roboto" w:hAnsi="Roboto" w:cs="Roboto"/>
          <w:b/>
          <w:color w:val="E83544"/>
          <w:sz w:val="22"/>
          <w:szCs w:val="22"/>
        </w:rPr>
      </w:pPr>
      <w:r>
        <w:rPr>
          <w:rFonts w:ascii="Roboto" w:eastAsia="Roboto" w:hAnsi="Roboto" w:cs="Roboto"/>
          <w:b/>
          <w:color w:val="E83544"/>
          <w:sz w:val="22"/>
          <w:szCs w:val="22"/>
        </w:rPr>
        <w:t>Sobre ENAC</w:t>
      </w:r>
    </w:p>
    <w:p w14:paraId="41E93882" w14:textId="77777777" w:rsidR="002232D8" w:rsidRDefault="00A75871">
      <w:pPr>
        <w:jc w:val="both"/>
        <w:rPr>
          <w:rFonts w:ascii="Roboto" w:eastAsia="Roboto" w:hAnsi="Roboto" w:cs="Roboto"/>
          <w:sz w:val="22"/>
          <w:szCs w:val="22"/>
        </w:rPr>
      </w:pPr>
      <w:r>
        <w:rPr>
          <w:rFonts w:ascii="Roboto" w:eastAsia="Roboto" w:hAnsi="Roboto" w:cs="Roboto"/>
          <w:sz w:val="22"/>
          <w:szCs w:val="22"/>
        </w:rPr>
        <w:t>La Entidad Nacional de Acreditación – ENAC – es la entidad designada por el Gobierno para operar en España como el único Organismo Nacional de Acreditación, en aplicación del Reglamento (CE) nº765/2008 del Parlamento Europeo que regula el funcionamiento de la acreditación en Europa.</w:t>
      </w:r>
    </w:p>
    <w:p w14:paraId="41E93883" w14:textId="77777777" w:rsidR="002232D8" w:rsidRDefault="00A75871">
      <w:pPr>
        <w:jc w:val="both"/>
        <w:rPr>
          <w:rFonts w:ascii="Roboto" w:eastAsia="Roboto" w:hAnsi="Roboto" w:cs="Roboto"/>
          <w:sz w:val="22"/>
          <w:szCs w:val="22"/>
        </w:rPr>
      </w:pPr>
      <w:r>
        <w:rPr>
          <w:rFonts w:ascii="Roboto" w:eastAsia="Roboto" w:hAnsi="Roboto" w:cs="Roboto"/>
          <w:color w:val="1F497D"/>
          <w:sz w:val="22"/>
          <w:szCs w:val="22"/>
        </w:rPr>
        <w:t> </w:t>
      </w:r>
    </w:p>
    <w:p w14:paraId="41E93884" w14:textId="77777777" w:rsidR="002232D8" w:rsidRDefault="00A75871">
      <w:pPr>
        <w:jc w:val="both"/>
        <w:rPr>
          <w:rFonts w:ascii="Roboto" w:eastAsia="Roboto" w:hAnsi="Roboto" w:cs="Roboto"/>
          <w:sz w:val="22"/>
          <w:szCs w:val="22"/>
        </w:rPr>
      </w:pPr>
      <w:r>
        <w:rPr>
          <w:rFonts w:ascii="Roboto" w:eastAsia="Roboto" w:hAnsi="Roboto" w:cs="Roboto"/>
          <w:sz w:val="22"/>
          <w:szCs w:val="22"/>
        </w:rPr>
        <w:t>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41E93885" w14:textId="77777777" w:rsidR="002232D8" w:rsidRDefault="00A75871">
      <w:pPr>
        <w:jc w:val="both"/>
        <w:rPr>
          <w:rFonts w:ascii="Roboto" w:eastAsia="Roboto" w:hAnsi="Roboto" w:cs="Roboto"/>
          <w:sz w:val="22"/>
          <w:szCs w:val="22"/>
        </w:rPr>
      </w:pPr>
      <w:r>
        <w:rPr>
          <w:rFonts w:ascii="Roboto" w:eastAsia="Roboto" w:hAnsi="Roboto" w:cs="Roboto"/>
          <w:sz w:val="22"/>
          <w:szCs w:val="22"/>
        </w:rPr>
        <w:t> </w:t>
      </w:r>
    </w:p>
    <w:p w14:paraId="41E93886" w14:textId="77777777" w:rsidR="002232D8" w:rsidRDefault="002232D8">
      <w:pPr>
        <w:jc w:val="both"/>
        <w:rPr>
          <w:rFonts w:ascii="Roboto" w:eastAsia="Roboto" w:hAnsi="Roboto" w:cs="Roboto"/>
          <w:sz w:val="22"/>
          <w:szCs w:val="22"/>
        </w:rPr>
      </w:pPr>
    </w:p>
    <w:p w14:paraId="41E93887" w14:textId="77777777" w:rsidR="002232D8" w:rsidRDefault="002232D8">
      <w:pPr>
        <w:jc w:val="both"/>
        <w:rPr>
          <w:rFonts w:ascii="Roboto" w:eastAsia="Roboto" w:hAnsi="Roboto" w:cs="Roboto"/>
          <w:sz w:val="22"/>
          <w:szCs w:val="22"/>
        </w:rPr>
      </w:pPr>
    </w:p>
    <w:p w14:paraId="41E93888" w14:textId="77777777" w:rsidR="002232D8" w:rsidRDefault="002232D8">
      <w:pPr>
        <w:jc w:val="both"/>
        <w:rPr>
          <w:rFonts w:ascii="Roboto" w:eastAsia="Roboto" w:hAnsi="Roboto" w:cs="Roboto"/>
          <w:sz w:val="22"/>
          <w:szCs w:val="22"/>
        </w:rPr>
      </w:pPr>
    </w:p>
    <w:p w14:paraId="41E93889" w14:textId="77777777" w:rsidR="002232D8" w:rsidRDefault="002232D8">
      <w:pPr>
        <w:jc w:val="both"/>
        <w:rPr>
          <w:rFonts w:ascii="Roboto" w:eastAsia="Roboto" w:hAnsi="Roboto" w:cs="Roboto"/>
          <w:sz w:val="22"/>
          <w:szCs w:val="22"/>
        </w:rPr>
      </w:pPr>
    </w:p>
    <w:p w14:paraId="41E9388A" w14:textId="77777777" w:rsidR="002232D8" w:rsidRDefault="002232D8">
      <w:pPr>
        <w:jc w:val="both"/>
        <w:rPr>
          <w:rFonts w:ascii="Roboto" w:eastAsia="Roboto" w:hAnsi="Roboto" w:cs="Roboto"/>
          <w:sz w:val="22"/>
          <w:szCs w:val="22"/>
        </w:rPr>
      </w:pPr>
    </w:p>
    <w:p w14:paraId="41E9388B" w14:textId="77777777" w:rsidR="002232D8" w:rsidRDefault="002232D8">
      <w:pPr>
        <w:jc w:val="both"/>
        <w:rPr>
          <w:rFonts w:ascii="Roboto" w:eastAsia="Roboto" w:hAnsi="Roboto" w:cs="Roboto"/>
          <w:sz w:val="22"/>
          <w:szCs w:val="22"/>
        </w:rPr>
      </w:pPr>
    </w:p>
    <w:p w14:paraId="41E9388C" w14:textId="77777777" w:rsidR="002232D8" w:rsidRDefault="002232D8">
      <w:pPr>
        <w:jc w:val="both"/>
        <w:rPr>
          <w:rFonts w:ascii="Roboto" w:eastAsia="Roboto" w:hAnsi="Roboto" w:cs="Roboto"/>
          <w:sz w:val="22"/>
          <w:szCs w:val="22"/>
        </w:rPr>
      </w:pPr>
    </w:p>
    <w:p w14:paraId="41E9388D" w14:textId="77777777" w:rsidR="002232D8" w:rsidRDefault="00A75871">
      <w:pPr>
        <w:jc w:val="both"/>
        <w:rPr>
          <w:rFonts w:ascii="Roboto" w:eastAsia="Roboto" w:hAnsi="Roboto" w:cs="Roboto"/>
          <w:sz w:val="22"/>
          <w:szCs w:val="22"/>
        </w:rPr>
      </w:pPr>
      <w:r>
        <w:rPr>
          <w:rFonts w:ascii="Roboto" w:eastAsia="Roboto" w:hAnsi="Roboto" w:cs="Roboto"/>
          <w:sz w:val="22"/>
          <w:szCs w:val="22"/>
        </w:rPr>
        <w:t>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w:t>
      </w:r>
    </w:p>
    <w:p w14:paraId="41E9388E" w14:textId="77777777" w:rsidR="002232D8" w:rsidRDefault="002232D8">
      <w:pPr>
        <w:jc w:val="both"/>
        <w:rPr>
          <w:rFonts w:ascii="Roboto" w:eastAsia="Roboto" w:hAnsi="Roboto" w:cs="Roboto"/>
          <w:sz w:val="22"/>
          <w:szCs w:val="22"/>
        </w:rPr>
      </w:pPr>
    </w:p>
    <w:p w14:paraId="41E9388F" w14:textId="77777777" w:rsidR="002232D8" w:rsidRDefault="002232D8">
      <w:pPr>
        <w:jc w:val="both"/>
        <w:rPr>
          <w:rFonts w:ascii="Roboto" w:eastAsia="Roboto" w:hAnsi="Roboto" w:cs="Roboto"/>
          <w:sz w:val="22"/>
          <w:szCs w:val="22"/>
        </w:rPr>
      </w:pPr>
    </w:p>
    <w:p w14:paraId="41E93890" w14:textId="77777777" w:rsidR="002232D8" w:rsidRDefault="00383A7A">
      <w:pPr>
        <w:pBdr>
          <w:bottom w:val="single" w:sz="12" w:space="1" w:color="000000"/>
        </w:pBdr>
        <w:jc w:val="both"/>
        <w:rPr>
          <w:rFonts w:ascii="Roboto" w:eastAsia="Roboto" w:hAnsi="Roboto" w:cs="Roboto"/>
          <w:color w:val="E83544"/>
          <w:sz w:val="22"/>
          <w:szCs w:val="22"/>
        </w:rPr>
      </w:pPr>
      <w:hyperlink r:id="rId12">
        <w:r w:rsidR="00A75871">
          <w:rPr>
            <w:rFonts w:ascii="Roboto" w:eastAsia="Roboto" w:hAnsi="Roboto" w:cs="Roboto"/>
            <w:color w:val="E83544"/>
            <w:sz w:val="22"/>
            <w:szCs w:val="22"/>
            <w:u w:val="single"/>
          </w:rPr>
          <w:t>www.enac.es</w:t>
        </w:r>
      </w:hyperlink>
      <w:r w:rsidR="00A75871">
        <w:rPr>
          <w:rFonts w:ascii="Roboto" w:eastAsia="Roboto" w:hAnsi="Roboto" w:cs="Roboto"/>
          <w:color w:val="E83544"/>
          <w:sz w:val="22"/>
          <w:szCs w:val="22"/>
        </w:rPr>
        <w:t xml:space="preserve"> </w:t>
      </w:r>
    </w:p>
    <w:p w14:paraId="41E93891" w14:textId="77777777" w:rsidR="002232D8" w:rsidRDefault="002232D8">
      <w:pPr>
        <w:pBdr>
          <w:bottom w:val="single" w:sz="12" w:space="1" w:color="000000"/>
        </w:pBdr>
        <w:jc w:val="both"/>
        <w:rPr>
          <w:rFonts w:ascii="Roboto" w:eastAsia="Roboto" w:hAnsi="Roboto" w:cs="Roboto"/>
          <w:color w:val="E83544"/>
          <w:sz w:val="22"/>
          <w:szCs w:val="22"/>
        </w:rPr>
      </w:pPr>
    </w:p>
    <w:p w14:paraId="41E93892" w14:textId="77777777" w:rsidR="002232D8" w:rsidRDefault="00A75871">
      <w:pPr>
        <w:pBdr>
          <w:bottom w:val="single" w:sz="12" w:space="1" w:color="000000"/>
        </w:pBdr>
        <w:jc w:val="both"/>
        <w:rPr>
          <w:rFonts w:ascii="Roboto" w:eastAsia="Roboto" w:hAnsi="Roboto" w:cs="Roboto"/>
          <w:sz w:val="22"/>
          <w:szCs w:val="22"/>
        </w:rPr>
      </w:pPr>
      <w:r>
        <w:rPr>
          <w:rFonts w:ascii="Roboto" w:eastAsia="Roboto" w:hAnsi="Roboto" w:cs="Roboto"/>
          <w:color w:val="0000FF"/>
          <w:sz w:val="22"/>
          <w:szCs w:val="22"/>
        </w:rPr>
        <w:t xml:space="preserve"> </w:t>
      </w:r>
      <w:r>
        <w:rPr>
          <w:rFonts w:ascii="Roboto" w:eastAsia="Roboto" w:hAnsi="Roboto" w:cs="Roboto"/>
          <w:noProof/>
          <w:color w:val="0000FF"/>
          <w:sz w:val="22"/>
          <w:szCs w:val="22"/>
        </w:rPr>
        <w:drawing>
          <wp:inline distT="0" distB="0" distL="0" distR="0" wp14:anchorId="41E9389C" wp14:editId="41E9389D">
            <wp:extent cx="304800" cy="304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4800" cy="304800"/>
                    </a:xfrm>
                    <a:prstGeom prst="rect">
                      <a:avLst/>
                    </a:prstGeom>
                    <a:ln/>
                  </pic:spPr>
                </pic:pic>
              </a:graphicData>
            </a:graphic>
          </wp:inline>
        </w:drawing>
      </w:r>
      <w:r>
        <w:rPr>
          <w:rFonts w:ascii="Roboto" w:eastAsia="Roboto" w:hAnsi="Roboto" w:cs="Roboto"/>
          <w:color w:val="0000FF"/>
          <w:sz w:val="22"/>
          <w:szCs w:val="22"/>
        </w:rPr>
        <w:t xml:space="preserve">  </w:t>
      </w:r>
      <w:r>
        <w:rPr>
          <w:rFonts w:ascii="Roboto" w:eastAsia="Roboto" w:hAnsi="Roboto" w:cs="Roboto"/>
          <w:noProof/>
          <w:color w:val="0000FF"/>
          <w:sz w:val="22"/>
          <w:szCs w:val="22"/>
        </w:rPr>
        <w:drawing>
          <wp:inline distT="0" distB="0" distL="0" distR="0" wp14:anchorId="41E9389E" wp14:editId="41E9389F">
            <wp:extent cx="304800" cy="304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04800" cy="304800"/>
                    </a:xfrm>
                    <a:prstGeom prst="rect">
                      <a:avLst/>
                    </a:prstGeom>
                    <a:ln/>
                  </pic:spPr>
                </pic:pic>
              </a:graphicData>
            </a:graphic>
          </wp:inline>
        </w:drawing>
      </w:r>
    </w:p>
    <w:p w14:paraId="41E93893" w14:textId="77777777" w:rsidR="002232D8" w:rsidRDefault="002232D8">
      <w:pPr>
        <w:pBdr>
          <w:bottom w:val="single" w:sz="12" w:space="1" w:color="000000"/>
        </w:pBdr>
        <w:jc w:val="both"/>
        <w:rPr>
          <w:rFonts w:ascii="Roboto" w:eastAsia="Roboto" w:hAnsi="Roboto" w:cs="Roboto"/>
          <w:color w:val="E83544"/>
          <w:sz w:val="22"/>
          <w:szCs w:val="22"/>
        </w:rPr>
      </w:pPr>
    </w:p>
    <w:p w14:paraId="41E93894" w14:textId="77777777" w:rsidR="002232D8" w:rsidRDefault="002232D8">
      <w:pPr>
        <w:jc w:val="both"/>
        <w:rPr>
          <w:rFonts w:ascii="Roboto" w:eastAsia="Roboto" w:hAnsi="Roboto" w:cs="Roboto"/>
          <w:color w:val="E83544"/>
          <w:sz w:val="22"/>
          <w:szCs w:val="22"/>
        </w:rPr>
      </w:pPr>
    </w:p>
    <w:p w14:paraId="41E93895" w14:textId="77777777" w:rsidR="002232D8" w:rsidRDefault="00A75871">
      <w:pPr>
        <w:jc w:val="both"/>
        <w:rPr>
          <w:rFonts w:ascii="Roboto" w:eastAsia="Roboto" w:hAnsi="Roboto" w:cs="Roboto"/>
          <w:sz w:val="22"/>
          <w:szCs w:val="22"/>
        </w:rPr>
      </w:pPr>
      <w:r>
        <w:rPr>
          <w:rFonts w:ascii="Roboto" w:eastAsia="Roboto" w:hAnsi="Roboto" w:cs="Roboto"/>
          <w:sz w:val="22"/>
          <w:szCs w:val="22"/>
        </w:rPr>
        <w:t>Para más información sobre la nota de prensa, resolver dudas o gestionar entrevistas</w:t>
      </w:r>
    </w:p>
    <w:p w14:paraId="41E93896" w14:textId="77777777" w:rsidR="002232D8" w:rsidRDefault="00A75871">
      <w:pPr>
        <w:jc w:val="both"/>
        <w:rPr>
          <w:rFonts w:ascii="Roboto" w:eastAsia="Roboto" w:hAnsi="Roboto" w:cs="Roboto"/>
          <w:sz w:val="22"/>
          <w:szCs w:val="22"/>
        </w:rPr>
      </w:pPr>
      <w:r>
        <w:rPr>
          <w:rFonts w:ascii="Roboto" w:eastAsia="Roboto" w:hAnsi="Roboto" w:cs="Roboto"/>
          <w:sz w:val="22"/>
          <w:szCs w:val="22"/>
        </w:rPr>
        <w:lastRenderedPageBreak/>
        <w:t>Eva Martín</w:t>
      </w:r>
    </w:p>
    <w:p w14:paraId="41E93897" w14:textId="77777777" w:rsidR="002232D8" w:rsidRDefault="00A75871">
      <w:pPr>
        <w:jc w:val="both"/>
        <w:rPr>
          <w:rFonts w:ascii="Roboto" w:eastAsia="Roboto" w:hAnsi="Roboto" w:cs="Roboto"/>
          <w:sz w:val="22"/>
          <w:szCs w:val="22"/>
        </w:rPr>
      </w:pPr>
      <w:r>
        <w:rPr>
          <w:rFonts w:ascii="Roboto" w:eastAsia="Roboto" w:hAnsi="Roboto" w:cs="Roboto"/>
          <w:sz w:val="22"/>
          <w:szCs w:val="22"/>
        </w:rPr>
        <w:t xml:space="preserve">Tfno. 628 17 49 01 / </w:t>
      </w:r>
      <w:r>
        <w:rPr>
          <w:rFonts w:ascii="Roboto" w:eastAsia="Roboto" w:hAnsi="Roboto" w:cs="Roboto"/>
          <w:color w:val="E83544"/>
          <w:sz w:val="22"/>
          <w:szCs w:val="22"/>
        </w:rPr>
        <w:t xml:space="preserve"> </w:t>
      </w:r>
      <w:hyperlink r:id="rId15">
        <w:r>
          <w:rPr>
            <w:rFonts w:ascii="Roboto" w:eastAsia="Roboto" w:hAnsi="Roboto" w:cs="Roboto"/>
            <w:color w:val="E83544"/>
            <w:sz w:val="22"/>
            <w:szCs w:val="22"/>
            <w:u w:val="single"/>
          </w:rPr>
          <w:t>evamc@varenga.es</w:t>
        </w:r>
      </w:hyperlink>
    </w:p>
    <w:p w14:paraId="41E93898" w14:textId="77777777" w:rsidR="002232D8" w:rsidRDefault="002232D8">
      <w:pPr>
        <w:spacing w:after="200" w:line="276" w:lineRule="auto"/>
        <w:rPr>
          <w:rFonts w:ascii="Roboto" w:eastAsia="Roboto" w:hAnsi="Roboto" w:cs="Roboto"/>
          <w:sz w:val="22"/>
          <w:szCs w:val="22"/>
        </w:rPr>
      </w:pPr>
    </w:p>
    <w:p w14:paraId="41E93899" w14:textId="77777777" w:rsidR="002232D8" w:rsidRDefault="002232D8">
      <w:pPr>
        <w:rPr>
          <w:rFonts w:ascii="Calibri" w:eastAsia="Calibri" w:hAnsi="Calibri" w:cs="Calibri"/>
          <w:b/>
          <w:sz w:val="22"/>
          <w:szCs w:val="22"/>
          <w:u w:val="single"/>
        </w:rPr>
      </w:pPr>
    </w:p>
    <w:p w14:paraId="41E9389A" w14:textId="77777777" w:rsidR="002232D8" w:rsidRDefault="002232D8">
      <w:pPr>
        <w:jc w:val="both"/>
        <w:rPr>
          <w:rFonts w:ascii="Calibri" w:eastAsia="Calibri" w:hAnsi="Calibri" w:cs="Calibri"/>
          <w:b/>
          <w:sz w:val="22"/>
          <w:szCs w:val="22"/>
          <w:u w:val="single"/>
        </w:rPr>
      </w:pPr>
    </w:p>
    <w:p w14:paraId="41E9389B" w14:textId="77777777" w:rsidR="002232D8" w:rsidRDefault="002232D8">
      <w:pPr>
        <w:pBdr>
          <w:top w:val="nil"/>
          <w:left w:val="nil"/>
          <w:bottom w:val="nil"/>
          <w:right w:val="nil"/>
          <w:between w:val="nil"/>
        </w:pBdr>
        <w:rPr>
          <w:rFonts w:ascii="Calibri" w:eastAsia="Calibri" w:hAnsi="Calibri" w:cs="Calibri"/>
          <w:highlight w:val="white"/>
        </w:rPr>
      </w:pPr>
    </w:p>
    <w:sectPr w:rsidR="002232D8">
      <w:headerReference w:type="default" r:id="rId16"/>
      <w:footerReference w:type="defaul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A46D" w14:textId="77777777" w:rsidR="00383A7A" w:rsidRDefault="00383A7A">
      <w:r>
        <w:separator/>
      </w:r>
    </w:p>
  </w:endnote>
  <w:endnote w:type="continuationSeparator" w:id="0">
    <w:p w14:paraId="4A87AC80" w14:textId="77777777" w:rsidR="00383A7A" w:rsidRDefault="00383A7A">
      <w:r>
        <w:continuationSeparator/>
      </w:r>
    </w:p>
  </w:endnote>
  <w:endnote w:type="continuationNotice" w:id="1">
    <w:p w14:paraId="3B93D694" w14:textId="77777777" w:rsidR="00383A7A" w:rsidRDefault="00383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8A3" w14:textId="65E3D560" w:rsidR="002232D8" w:rsidRDefault="00A7587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0C7406">
      <w:rPr>
        <w:noProof/>
        <w:color w:val="000000"/>
      </w:rPr>
      <w:t>1</w:t>
    </w:r>
    <w:r>
      <w:rPr>
        <w:color w:val="000000"/>
      </w:rPr>
      <w:fldChar w:fldCharType="end"/>
    </w:r>
  </w:p>
  <w:p w14:paraId="41E938A4" w14:textId="77777777" w:rsidR="002232D8" w:rsidRDefault="002232D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EA52" w14:textId="77777777" w:rsidR="00383A7A" w:rsidRDefault="00383A7A">
      <w:r>
        <w:separator/>
      </w:r>
    </w:p>
  </w:footnote>
  <w:footnote w:type="continuationSeparator" w:id="0">
    <w:p w14:paraId="5A882D3F" w14:textId="77777777" w:rsidR="00383A7A" w:rsidRDefault="00383A7A">
      <w:r>
        <w:continuationSeparator/>
      </w:r>
    </w:p>
  </w:footnote>
  <w:footnote w:type="continuationNotice" w:id="1">
    <w:p w14:paraId="747E4FED" w14:textId="77777777" w:rsidR="00383A7A" w:rsidRDefault="00383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8A0" w14:textId="77777777" w:rsidR="002232D8" w:rsidRDefault="00A75871">
    <w:pPr>
      <w:ind w:left="-120"/>
      <w:jc w:val="both"/>
      <w:rPr>
        <w:rFonts w:ascii="Calibri" w:eastAsia="Calibri" w:hAnsi="Calibri" w:cs="Calibri"/>
        <w:b/>
        <w:sz w:val="40"/>
        <w:szCs w:val="40"/>
      </w:rPr>
    </w:pPr>
    <w:r>
      <w:rPr>
        <w:noProof/>
      </w:rPr>
      <w:drawing>
        <wp:anchor distT="114300" distB="114300" distL="114300" distR="114300" simplePos="0" relativeHeight="251658240" behindDoc="0" locked="0" layoutInCell="1" hidden="0" allowOverlap="1" wp14:anchorId="41E938A5" wp14:editId="41E938A6">
          <wp:simplePos x="0" y="0"/>
          <wp:positionH relativeFrom="column">
            <wp:posOffset>4114800</wp:posOffset>
          </wp:positionH>
          <wp:positionV relativeFrom="paragraph">
            <wp:posOffset>-304794</wp:posOffset>
          </wp:positionV>
          <wp:extent cx="1547842" cy="997267"/>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7842" cy="997267"/>
                  </a:xfrm>
                  <a:prstGeom prst="rect">
                    <a:avLst/>
                  </a:prstGeom>
                  <a:ln/>
                </pic:spPr>
              </pic:pic>
            </a:graphicData>
          </a:graphic>
        </wp:anchor>
      </w:drawing>
    </w:r>
  </w:p>
  <w:p w14:paraId="41E938A1" w14:textId="77777777" w:rsidR="002232D8" w:rsidRDefault="00A75871">
    <w:pPr>
      <w:ind w:left="-120"/>
      <w:jc w:val="both"/>
      <w:rPr>
        <w:rFonts w:ascii="Nunito" w:eastAsia="Nunito" w:hAnsi="Nunito" w:cs="Nunito"/>
        <w:sz w:val="22"/>
        <w:szCs w:val="22"/>
      </w:rPr>
    </w:pPr>
    <w:r>
      <w:rPr>
        <w:rFonts w:ascii="Nunito" w:eastAsia="Nunito" w:hAnsi="Nunito" w:cs="Nunito"/>
        <w:b/>
        <w:sz w:val="40"/>
        <w:szCs w:val="40"/>
      </w:rPr>
      <w:t>NOTA DE PRENSA</w:t>
    </w:r>
    <w:r>
      <w:rPr>
        <w:rFonts w:ascii="Nunito" w:eastAsia="Nunito" w:hAnsi="Nunito" w:cs="Nunito"/>
        <w:sz w:val="22"/>
        <w:szCs w:val="22"/>
      </w:rPr>
      <w:t xml:space="preserve"> </w:t>
    </w:r>
  </w:p>
  <w:p w14:paraId="41E938A2" w14:textId="77777777" w:rsidR="002232D8" w:rsidRDefault="002232D8">
    <w:pPr>
      <w:pBdr>
        <w:top w:val="nil"/>
        <w:left w:val="nil"/>
        <w:bottom w:val="nil"/>
        <w:right w:val="nil"/>
        <w:between w:val="nil"/>
      </w:pBdr>
      <w:tabs>
        <w:tab w:val="center" w:pos="4252"/>
        <w:tab w:val="right" w:pos="8504"/>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5f9DpKtm7FIUko" int2:id="ks1V92wE">
      <int2:state int2:value="Rejected" int2:type="LegacyProofing"/>
    </int2:textHash>
    <int2:textHash int2:hashCode="lJCp19rWkIW+x/" int2:id="WxSmHA8y">
      <int2:state int2:value="Rejected" int2:type="LegacyProofing"/>
    </int2:textHash>
    <int2:bookmark int2:bookmarkName="_Int_ZNNCH9XO" int2:invalidationBookmarkName="" int2:hashCode="y1VR9AP6xf09bR" int2:id="43QBOOzJ">
      <int2:state int2:value="Rejected" int2:type="LegacyProofing"/>
    </int2:bookmark>
    <int2:bookmark int2:bookmarkName="_Int_KpjnpKia" int2:invalidationBookmarkName="" int2:hashCode="y1VR9AP6xf09bR" int2:id="4kTsjpPU">
      <int2:state int2:value="Rejected" int2:type="LegacyProofing"/>
    </int2:bookmark>
    <int2:bookmark int2:bookmarkName="_Int_UIPpsUWi" int2:invalidationBookmarkName="" int2:hashCode="y1VR9AP6xf09bR" int2:id="WwExtL3f">
      <int2:state int2:value="Rejected" int2:type="LegacyProofing"/>
    </int2:bookmark>
    <int2:bookmark int2:bookmarkName="_Int_D1nrCBHB" int2:invalidationBookmarkName="" int2:hashCode="y1VR9AP6xf09bR" int2:id="2wASfix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5655E"/>
    <w:multiLevelType w:val="multilevel"/>
    <w:tmpl w:val="0F42D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233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D8"/>
    <w:rsid w:val="000A43A4"/>
    <w:rsid w:val="000B1C1F"/>
    <w:rsid w:val="000C7406"/>
    <w:rsid w:val="00102395"/>
    <w:rsid w:val="00112DCB"/>
    <w:rsid w:val="00194B83"/>
    <w:rsid w:val="002232D8"/>
    <w:rsid w:val="002337A6"/>
    <w:rsid w:val="002471C5"/>
    <w:rsid w:val="00254AE3"/>
    <w:rsid w:val="002B66FE"/>
    <w:rsid w:val="00383A7A"/>
    <w:rsid w:val="00476CA0"/>
    <w:rsid w:val="004B7DF9"/>
    <w:rsid w:val="00510B2C"/>
    <w:rsid w:val="005778DA"/>
    <w:rsid w:val="005F1DAC"/>
    <w:rsid w:val="00614F11"/>
    <w:rsid w:val="00725186"/>
    <w:rsid w:val="0072560D"/>
    <w:rsid w:val="007E4BBE"/>
    <w:rsid w:val="00874DE8"/>
    <w:rsid w:val="008946A1"/>
    <w:rsid w:val="00926F55"/>
    <w:rsid w:val="00977610"/>
    <w:rsid w:val="00A22E23"/>
    <w:rsid w:val="00A42C4D"/>
    <w:rsid w:val="00A55CC3"/>
    <w:rsid w:val="00A75871"/>
    <w:rsid w:val="00B42C2F"/>
    <w:rsid w:val="00BE4C0B"/>
    <w:rsid w:val="00D02F73"/>
    <w:rsid w:val="00D54D25"/>
    <w:rsid w:val="00DD23BE"/>
    <w:rsid w:val="00DE2C99"/>
    <w:rsid w:val="00DF08FC"/>
    <w:rsid w:val="00E42B94"/>
    <w:rsid w:val="00E47E9C"/>
    <w:rsid w:val="00EB52A0"/>
    <w:rsid w:val="00F04E67"/>
    <w:rsid w:val="00F96398"/>
    <w:rsid w:val="00FF732F"/>
    <w:rsid w:val="2E914B5F"/>
    <w:rsid w:val="55EE46B0"/>
    <w:rsid w:val="56FB3200"/>
    <w:rsid w:val="583A1205"/>
    <w:rsid w:val="5A32D2C2"/>
    <w:rsid w:val="782FA924"/>
    <w:rsid w:val="7FF3FD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3868"/>
  <w15:docId w15:val="{B8CEE781-6825-4914-8A76-2FB784B7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54D25"/>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0B1C1F"/>
    <w:pPr>
      <w:tabs>
        <w:tab w:val="center" w:pos="4252"/>
        <w:tab w:val="right" w:pos="8504"/>
      </w:tabs>
    </w:pPr>
  </w:style>
  <w:style w:type="character" w:customStyle="1" w:styleId="EncabezadoCar">
    <w:name w:val="Encabezado Car"/>
    <w:basedOn w:val="Fuentedeprrafopredeter"/>
    <w:link w:val="Encabezado"/>
    <w:uiPriority w:val="99"/>
    <w:semiHidden/>
    <w:rsid w:val="000B1C1F"/>
  </w:style>
  <w:style w:type="paragraph" w:styleId="Piedepgina">
    <w:name w:val="footer"/>
    <w:basedOn w:val="Normal"/>
    <w:link w:val="PiedepginaCar"/>
    <w:uiPriority w:val="99"/>
    <w:semiHidden/>
    <w:unhideWhenUsed/>
    <w:rsid w:val="000B1C1F"/>
    <w:pPr>
      <w:tabs>
        <w:tab w:val="center" w:pos="4252"/>
        <w:tab w:val="right" w:pos="8504"/>
      </w:tabs>
    </w:pPr>
  </w:style>
  <w:style w:type="character" w:customStyle="1" w:styleId="PiedepginaCar">
    <w:name w:val="Pie de página Car"/>
    <w:basedOn w:val="Fuentedeprrafopredeter"/>
    <w:link w:val="Piedepgina"/>
    <w:uiPriority w:val="99"/>
    <w:semiHidden/>
    <w:rsid w:val="000B1C1F"/>
  </w:style>
  <w:style w:type="character" w:styleId="Hipervnculo">
    <w:name w:val="Hyperlink"/>
    <w:basedOn w:val="Fuentedeprrafopredeter"/>
    <w:uiPriority w:val="99"/>
    <w:unhideWhenUsed/>
    <w:rsid w:val="00A22E23"/>
    <w:rPr>
      <w:color w:val="0000FF" w:themeColor="hyperlink"/>
      <w:u w:val="single"/>
    </w:rPr>
  </w:style>
  <w:style w:type="character" w:styleId="Mencinsinresolver">
    <w:name w:val="Unresolved Mention"/>
    <w:basedOn w:val="Fuentedeprrafopredeter"/>
    <w:uiPriority w:val="99"/>
    <w:semiHidden/>
    <w:unhideWhenUsed/>
    <w:rsid w:val="00A22E23"/>
    <w:rPr>
      <w:color w:val="605E5C"/>
      <w:shd w:val="clear" w:color="auto" w:fill="E1DFDD"/>
    </w:rPr>
  </w:style>
  <w:style w:type="character" w:styleId="Refdecomentario">
    <w:name w:val="annotation reference"/>
    <w:basedOn w:val="Fuentedeprrafopredeter"/>
    <w:uiPriority w:val="99"/>
    <w:semiHidden/>
    <w:unhideWhenUsed/>
    <w:rsid w:val="00F96398"/>
    <w:rPr>
      <w:sz w:val="16"/>
      <w:szCs w:val="16"/>
    </w:rPr>
  </w:style>
  <w:style w:type="paragraph" w:styleId="Textocomentario">
    <w:name w:val="annotation text"/>
    <w:basedOn w:val="Normal"/>
    <w:link w:val="TextocomentarioCar"/>
    <w:uiPriority w:val="99"/>
    <w:unhideWhenUsed/>
    <w:rsid w:val="00F96398"/>
    <w:rPr>
      <w:sz w:val="20"/>
      <w:szCs w:val="20"/>
    </w:rPr>
  </w:style>
  <w:style w:type="character" w:customStyle="1" w:styleId="TextocomentarioCar">
    <w:name w:val="Texto comentario Car"/>
    <w:basedOn w:val="Fuentedeprrafopredeter"/>
    <w:link w:val="Textocomentario"/>
    <w:uiPriority w:val="99"/>
    <w:rsid w:val="00F96398"/>
    <w:rPr>
      <w:sz w:val="20"/>
      <w:szCs w:val="20"/>
    </w:rPr>
  </w:style>
  <w:style w:type="paragraph" w:styleId="Asuntodelcomentario">
    <w:name w:val="annotation subject"/>
    <w:basedOn w:val="Textocomentario"/>
    <w:next w:val="Textocomentario"/>
    <w:link w:val="AsuntodelcomentarioCar"/>
    <w:uiPriority w:val="99"/>
    <w:semiHidden/>
    <w:unhideWhenUsed/>
    <w:rsid w:val="00F96398"/>
    <w:rPr>
      <w:b/>
      <w:bCs/>
    </w:rPr>
  </w:style>
  <w:style w:type="character" w:customStyle="1" w:styleId="AsuntodelcomentarioCar">
    <w:name w:val="Asunto del comentario Car"/>
    <w:basedOn w:val="TextocomentarioCar"/>
    <w:link w:val="Asuntodelcomentario"/>
    <w:uiPriority w:val="99"/>
    <w:semiHidden/>
    <w:rsid w:val="00F96398"/>
    <w:rPr>
      <w:b/>
      <w:bCs/>
      <w:sz w:val="20"/>
      <w:szCs w:val="20"/>
    </w:rPr>
  </w:style>
  <w:style w:type="paragraph" w:styleId="Revisin">
    <w:name w:val="Revision"/>
    <w:hidden/>
    <w:uiPriority w:val="99"/>
    <w:semiHidden/>
    <w:rsid w:val="0072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a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ac.es/web/enac/actualidad/policia-cientifica-inspeccion-ocular" TargetMode="External"/><Relationship Id="rId5" Type="http://schemas.openxmlformats.org/officeDocument/2006/relationships/styles" Target="styles.xml"/><Relationship Id="rId15" Type="http://schemas.openxmlformats.org/officeDocument/2006/relationships/hyperlink" Target="mailto:evamc@varenga.es" TargetMode="External"/><Relationship Id="rId10" Type="http://schemas.openxmlformats.org/officeDocument/2006/relationships/hyperlink" Target="https://www.enac.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90ce1-b2e7-4ccb-948d-a290ef611fa1">
      <Terms xmlns="http://schemas.microsoft.com/office/infopath/2007/PartnerControls"/>
    </lcf76f155ced4ddcb4097134ff3c332f>
    <TaxCatchAll xmlns="909e21e3-a2e2-47ca-be0e-9c3a9bef92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4" ma:contentTypeDescription="Crear nuevo documento." ma:contentTypeScope="" ma:versionID="8c82859fd4e960b8ffaef0e39e16015c">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049ab530a684e88a73025cf0b0ecb7f7"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6efcf77-0706-4f8e-b256-a6b4bd8b1840}" ma:internalName="TaxCatchAll" ma:showField="CatchAllData" ma:web="909e21e3-a2e2-47ca-be0e-9c3a9bef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73C0-603F-4A13-A549-FA31FBF8174E}">
  <ds:schemaRefs>
    <ds:schemaRef ds:uri="http://schemas.microsoft.com/sharepoint/v3/contenttype/forms"/>
  </ds:schemaRefs>
</ds:datastoreItem>
</file>

<file path=customXml/itemProps2.xml><?xml version="1.0" encoding="utf-8"?>
<ds:datastoreItem xmlns:ds="http://schemas.openxmlformats.org/officeDocument/2006/customXml" ds:itemID="{992BBC17-5F32-446C-B44F-A94E67604B6F}">
  <ds:schemaRefs>
    <ds:schemaRef ds:uri="http://schemas.microsoft.com/office/2006/metadata/properties"/>
    <ds:schemaRef ds:uri="http://schemas.microsoft.com/office/infopath/2007/PartnerControls"/>
    <ds:schemaRef ds:uri="6e290ce1-b2e7-4ccb-948d-a290ef611fa1"/>
    <ds:schemaRef ds:uri="909e21e3-a2e2-47ca-be0e-9c3a9bef9292"/>
  </ds:schemaRefs>
</ds:datastoreItem>
</file>

<file path=customXml/itemProps3.xml><?xml version="1.0" encoding="utf-8"?>
<ds:datastoreItem xmlns:ds="http://schemas.openxmlformats.org/officeDocument/2006/customXml" ds:itemID="{33AF0C0B-980A-4C9A-98DC-5E0846697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0ce1-b2e7-4ccb-948d-a290ef611fa1"/>
    <ds:schemaRef ds:uri="909e21e3-a2e2-47ca-be0e-9c3a9be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4745</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Diaz Pozo</cp:lastModifiedBy>
  <cp:revision>37</cp:revision>
  <dcterms:created xsi:type="dcterms:W3CDTF">2022-04-29T07:46:00Z</dcterms:created>
  <dcterms:modified xsi:type="dcterms:W3CDTF">2022-05-13T08:08:00Z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ies>
</file>