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C816B3" w:rsidRDefault="00C816B3" w14:paraId="74C89BA2" w14:textId="77777777"/>
    <w:p w:rsidR="00C816B3" w:rsidRDefault="00C816B3" w14:paraId="74C89BA3" w14:textId="77777777">
      <w:pPr>
        <w:jc w:val="center"/>
        <w:rPr>
          <w:rFonts w:ascii="Roboto" w:hAnsi="Roboto" w:eastAsia="Roboto" w:cs="Roboto"/>
          <w:b/>
          <w:sz w:val="34"/>
          <w:szCs w:val="34"/>
        </w:rPr>
      </w:pPr>
    </w:p>
    <w:p w:rsidR="00C816B3" w:rsidP="0E12512F" w:rsidRDefault="00777460" w14:paraId="74C89BA4" w14:textId="77777777">
      <w:pPr>
        <w:jc w:val="center"/>
        <w:rPr>
          <w:rFonts w:ascii="Roboto" w:hAnsi="Roboto" w:eastAsia="Roboto" w:cs="Roboto"/>
          <w:b/>
          <w:bCs/>
          <w:sz w:val="34"/>
          <w:szCs w:val="34"/>
          <w:lang w:val="es-ES"/>
        </w:rPr>
      </w:pPr>
      <w:r w:rsidRPr="0E12512F">
        <w:rPr>
          <w:rFonts w:ascii="Roboto" w:hAnsi="Roboto" w:eastAsia="Roboto" w:cs="Roboto"/>
          <w:b/>
          <w:bCs/>
          <w:sz w:val="34"/>
          <w:szCs w:val="34"/>
          <w:lang w:val="es-ES"/>
        </w:rPr>
        <w:t>ENAC concede a Deloitte Strategy, Risk &amp; Transactions la primera acreditación en el ámbito de la evaluación de la accesibilidad de TPVs</w:t>
      </w:r>
    </w:p>
    <w:p w:rsidR="00C816B3" w:rsidRDefault="00C816B3" w14:paraId="74C89BA5" w14:textId="77777777">
      <w:pPr>
        <w:jc w:val="center"/>
        <w:rPr>
          <w:rFonts w:ascii="Roboto" w:hAnsi="Roboto" w:eastAsia="Roboto" w:cs="Roboto"/>
          <w:b/>
          <w:sz w:val="12"/>
          <w:szCs w:val="12"/>
        </w:rPr>
      </w:pPr>
    </w:p>
    <w:p w:rsidR="00C816B3" w:rsidRDefault="00777460" w14:paraId="74C89BA6"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center"/>
        <w:rPr>
          <w:rFonts w:ascii="Roboto" w:hAnsi="Roboto" w:eastAsia="Roboto" w:cs="Roboto"/>
          <w:sz w:val="20"/>
          <w:szCs w:val="20"/>
        </w:rPr>
      </w:pPr>
      <w:r>
        <w:rPr>
          <w:rFonts w:ascii="Roboto" w:hAnsi="Roboto" w:eastAsia="Roboto" w:cs="Roboto"/>
          <w:sz w:val="20"/>
          <w:szCs w:val="20"/>
        </w:rPr>
        <w:t xml:space="preserve"> </w:t>
      </w:r>
    </w:p>
    <w:p w:rsidR="00C816B3" w:rsidP="0E12512F" w:rsidRDefault="00777460" w14:paraId="74C89BA7" w14:textId="5285EEFF">
      <w:pPr>
        <w:numPr>
          <w:ilvl w:val="0"/>
          <w:numId w:val="1"/>
        </w:numPr>
        <w:pBdr>
          <w:top w:val="none" w:color="000000" w:sz="0" w:space="0"/>
          <w:left w:val="none" w:color="000000" w:sz="0" w:space="0"/>
          <w:bottom w:val="none" w:color="000000" w:sz="0" w:space="0"/>
          <w:right w:val="none" w:color="000000" w:sz="0" w:space="0"/>
          <w:between w:val="none" w:color="000000" w:sz="0" w:space="0"/>
        </w:pBdr>
        <w:shd w:val="clear" w:color="auto" w:fill="FFFFFF" w:themeFill="background1"/>
        <w:jc w:val="both"/>
        <w:rPr>
          <w:rFonts w:ascii="Roboto" w:hAnsi="Roboto" w:eastAsia="Roboto" w:cs="Roboto"/>
          <w:b/>
          <w:bCs/>
          <w:sz w:val="22"/>
          <w:szCs w:val="22"/>
          <w:lang w:val="es-ES"/>
        </w:rPr>
      </w:pPr>
      <w:r w:rsidRPr="0E12512F">
        <w:rPr>
          <w:rFonts w:ascii="Roboto" w:hAnsi="Roboto" w:eastAsia="Roboto" w:cs="Roboto"/>
          <w:b/>
          <w:bCs/>
          <w:sz w:val="22"/>
          <w:szCs w:val="22"/>
          <w:lang w:val="es-ES"/>
        </w:rPr>
        <w:t>Se convierte en la primera entidad acreditada en España para la evaluación de terminales de autoservicio, como cajeros automáticos y terminales de punto de venta (TPVs), según la norma europea EN 301 549 v3.2.1.</w:t>
      </w:r>
    </w:p>
    <w:p w:rsidR="00C816B3" w:rsidRDefault="00C816B3" w14:paraId="74C89BA8"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Roboto" w:hAnsi="Roboto" w:eastAsia="Roboto" w:cs="Roboto"/>
          <w:b/>
          <w:sz w:val="22"/>
          <w:szCs w:val="22"/>
        </w:rPr>
      </w:pPr>
    </w:p>
    <w:p w:rsidR="00C816B3" w:rsidRDefault="00777460" w14:paraId="74C89BA9" w14:textId="77777777">
      <w:pPr>
        <w:numPr>
          <w:ilvl w:val="0"/>
          <w:numId w:val="1"/>
        </w:num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jc w:val="both"/>
        <w:rPr>
          <w:rFonts w:ascii="Roboto" w:hAnsi="Roboto" w:eastAsia="Roboto" w:cs="Roboto"/>
          <w:b/>
          <w:sz w:val="22"/>
          <w:szCs w:val="22"/>
        </w:rPr>
      </w:pPr>
      <w:r>
        <w:rPr>
          <w:rFonts w:ascii="Roboto" w:hAnsi="Roboto" w:eastAsia="Roboto" w:cs="Roboto"/>
          <w:b/>
          <w:sz w:val="22"/>
          <w:szCs w:val="22"/>
        </w:rPr>
        <w:t xml:space="preserve">Esta acreditación supone un paso más en </w:t>
      </w:r>
      <w:r>
        <w:rPr>
          <w:rFonts w:ascii="Roboto" w:hAnsi="Roboto" w:eastAsia="Roboto" w:cs="Roboto"/>
          <w:b/>
          <w:sz w:val="22"/>
          <w:szCs w:val="22"/>
        </w:rPr>
        <w:t>el marco nacional de la accesibilidad digital</w:t>
      </w:r>
    </w:p>
    <w:p w:rsidR="00C816B3" w:rsidRDefault="00777460" w14:paraId="74C89BA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ind w:left="720"/>
        <w:jc w:val="both"/>
        <w:rPr>
          <w:rFonts w:ascii="Roboto" w:hAnsi="Roboto" w:eastAsia="Roboto" w:cs="Roboto"/>
          <w:sz w:val="22"/>
          <w:szCs w:val="22"/>
        </w:rPr>
      </w:pPr>
      <w:r>
        <w:rPr>
          <w:rFonts w:ascii="Roboto" w:hAnsi="Roboto" w:eastAsia="Roboto" w:cs="Roboto"/>
          <w:sz w:val="22"/>
          <w:szCs w:val="22"/>
        </w:rPr>
        <w:t xml:space="preserve"> </w:t>
      </w:r>
    </w:p>
    <w:p w:rsidR="00C816B3" w:rsidP="0C3FF97A" w:rsidRDefault="00777460" w14:paraId="74C89BAB" w14:textId="0AAD445D">
      <w:pPr>
        <w:pBdr>
          <w:top w:val="none" w:color="000000" w:sz="0" w:space="0"/>
          <w:left w:val="none" w:color="000000" w:sz="0" w:space="0"/>
          <w:bottom w:val="none" w:color="000000" w:sz="0" w:space="0"/>
          <w:right w:val="none" w:color="000000" w:sz="0" w:space="0"/>
          <w:between w:val="none" w:color="000000" w:sz="0" w:space="0"/>
        </w:pBdr>
        <w:shd w:val="clear" w:color="auto" w:fill="FFFFFF" w:themeFill="background1"/>
        <w:jc w:val="both"/>
        <w:rPr>
          <w:rFonts w:ascii="Roboto" w:hAnsi="Roboto" w:eastAsia="Roboto" w:cs="Roboto"/>
          <w:lang w:val="es-ES"/>
        </w:rPr>
      </w:pPr>
      <w:r w:rsidRPr="0C3FF97A" w:rsidR="00777460">
        <w:rPr>
          <w:rFonts w:ascii="Roboto" w:hAnsi="Roboto" w:eastAsia="Roboto" w:cs="Roboto"/>
          <w:lang w:val="es-ES"/>
        </w:rPr>
        <w:t xml:space="preserve">Madrid, 24 de julio de 2025.- La </w:t>
      </w:r>
      <w:hyperlink r:id="R330a9fdd85704d6a">
        <w:r w:rsidRPr="0C3FF97A" w:rsidR="00C816B3">
          <w:rPr>
            <w:rFonts w:ascii="Roboto" w:hAnsi="Roboto" w:eastAsia="Roboto" w:cs="Roboto"/>
            <w:b w:val="1"/>
            <w:bCs w:val="1"/>
            <w:color w:val="1155CC"/>
            <w:u w:val="single"/>
            <w:lang w:val="es-ES"/>
          </w:rPr>
          <w:t>Entidad Nacional de Acreditación</w:t>
        </w:r>
      </w:hyperlink>
      <w:r w:rsidRPr="0C3FF97A" w:rsidR="00777460">
        <w:rPr>
          <w:rFonts w:ascii="Roboto" w:hAnsi="Roboto" w:eastAsia="Roboto" w:cs="Roboto"/>
          <w:lang w:val="es-ES"/>
        </w:rPr>
        <w:t xml:space="preserve"> (ENAC) ha otorgado a Deloitte </w:t>
      </w:r>
      <w:r w:rsidRPr="0C3FF97A" w:rsidR="00777460">
        <w:rPr>
          <w:rFonts w:ascii="Roboto" w:hAnsi="Roboto" w:eastAsia="Roboto" w:cs="Roboto"/>
          <w:lang w:val="es-ES"/>
        </w:rPr>
        <w:t>Strategy</w:t>
      </w:r>
      <w:r w:rsidRPr="0C3FF97A" w:rsidR="00777460">
        <w:rPr>
          <w:rFonts w:ascii="Roboto" w:hAnsi="Roboto" w:eastAsia="Roboto" w:cs="Roboto"/>
          <w:lang w:val="es-ES"/>
        </w:rPr>
        <w:t xml:space="preserve">, </w:t>
      </w:r>
      <w:r w:rsidRPr="0C3FF97A" w:rsidR="00777460">
        <w:rPr>
          <w:rFonts w:ascii="Roboto" w:hAnsi="Roboto" w:eastAsia="Roboto" w:cs="Roboto"/>
          <w:lang w:val="es-ES"/>
        </w:rPr>
        <w:t>Risk</w:t>
      </w:r>
      <w:r w:rsidRPr="0C3FF97A" w:rsidR="00777460">
        <w:rPr>
          <w:rFonts w:ascii="Roboto" w:hAnsi="Roboto" w:eastAsia="Roboto" w:cs="Roboto"/>
          <w:lang w:val="es-ES"/>
        </w:rPr>
        <w:t xml:space="preserve"> &amp; </w:t>
      </w:r>
      <w:r w:rsidRPr="0C3FF97A" w:rsidR="00777460">
        <w:rPr>
          <w:rFonts w:ascii="Roboto" w:hAnsi="Roboto" w:eastAsia="Roboto" w:cs="Roboto"/>
          <w:lang w:val="es-ES"/>
        </w:rPr>
        <w:t>Transactions</w:t>
      </w:r>
      <w:r w:rsidRPr="0C3FF97A" w:rsidR="00777460">
        <w:rPr>
          <w:rFonts w:ascii="Roboto" w:hAnsi="Roboto" w:eastAsia="Roboto" w:cs="Roboto"/>
          <w:lang w:val="es-ES"/>
        </w:rPr>
        <w:t xml:space="preserve"> la acreditación para el </w:t>
      </w:r>
      <w:r w:rsidRPr="0C3FF97A" w:rsidR="00777460">
        <w:rPr>
          <w:rFonts w:ascii="Roboto" w:hAnsi="Roboto" w:eastAsia="Roboto" w:cs="Roboto"/>
          <w:b w:val="1"/>
          <w:bCs w:val="1"/>
          <w:lang w:val="es-ES"/>
        </w:rPr>
        <w:t>análisis de la accesibilidad de sitios web y aplicaciones móviles del sector público</w:t>
      </w:r>
      <w:r w:rsidRPr="0C3FF97A" w:rsidR="00777460">
        <w:rPr>
          <w:rFonts w:ascii="Roboto" w:hAnsi="Roboto" w:eastAsia="Roboto" w:cs="Roboto"/>
          <w:lang w:val="es-ES"/>
        </w:rPr>
        <w:t>, conforme al Real Decreto 1112/2018, y,</w:t>
      </w:r>
      <w:r w:rsidRPr="0C3FF97A" w:rsidR="00777460">
        <w:rPr>
          <w:rFonts w:ascii="Roboto" w:hAnsi="Roboto" w:eastAsia="Roboto" w:cs="Roboto"/>
          <w:b w:val="1"/>
          <w:bCs w:val="1"/>
          <w:lang w:val="es-ES"/>
        </w:rPr>
        <w:t xml:space="preserve"> por primera vez en España, </w:t>
      </w:r>
      <w:r w:rsidRPr="0C3FF97A" w:rsidR="00A0429E">
        <w:rPr>
          <w:rFonts w:ascii="Roboto" w:hAnsi="Roboto" w:eastAsia="Roboto" w:cs="Roboto"/>
          <w:lang w:val="es-ES"/>
        </w:rPr>
        <w:t xml:space="preserve">de </w:t>
      </w:r>
      <w:r w:rsidRPr="0C3FF97A" w:rsidR="00777460">
        <w:rPr>
          <w:rFonts w:ascii="Roboto" w:hAnsi="Roboto" w:eastAsia="Roboto" w:cs="Roboto"/>
          <w:lang w:val="es-ES"/>
        </w:rPr>
        <w:t>la</w:t>
      </w:r>
      <w:r w:rsidRPr="0C3FF97A" w:rsidR="00777460">
        <w:rPr>
          <w:rFonts w:ascii="Roboto" w:hAnsi="Roboto" w:eastAsia="Roboto" w:cs="Roboto"/>
          <w:b w:val="1"/>
          <w:bCs w:val="1"/>
          <w:lang w:val="es-ES"/>
        </w:rPr>
        <w:t xml:space="preserve"> evaluación de terminales de autoservicio, como cajeros automáticos y terminales de punto de venta</w:t>
      </w:r>
      <w:r w:rsidRPr="0C3FF97A" w:rsidR="00777460">
        <w:rPr>
          <w:rFonts w:ascii="Roboto" w:hAnsi="Roboto" w:eastAsia="Roboto" w:cs="Roboto"/>
          <w:lang w:val="es-ES"/>
        </w:rPr>
        <w:t xml:space="preserve"> (</w:t>
      </w:r>
      <w:r w:rsidRPr="0C3FF97A" w:rsidR="00777460">
        <w:rPr>
          <w:rFonts w:ascii="Roboto" w:hAnsi="Roboto" w:eastAsia="Roboto" w:cs="Roboto"/>
          <w:lang w:val="es-ES"/>
        </w:rPr>
        <w:t>TPVs</w:t>
      </w:r>
      <w:r w:rsidRPr="0C3FF97A" w:rsidR="00777460">
        <w:rPr>
          <w:rFonts w:ascii="Roboto" w:hAnsi="Roboto" w:eastAsia="Roboto" w:cs="Roboto"/>
          <w:lang w:val="es-ES"/>
        </w:rPr>
        <w:t>), bajo la norma europea EN 301 549 v3.2.1.</w:t>
      </w:r>
    </w:p>
    <w:p w:rsidR="00C816B3" w:rsidRDefault="00C816B3" w14:paraId="74C89BAC"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Roboto" w:hAnsi="Roboto" w:eastAsia="Roboto" w:cs="Roboto"/>
        </w:rPr>
      </w:pPr>
    </w:p>
    <w:p w:rsidR="00C816B3" w:rsidRDefault="00777460" w14:paraId="74C89BAD"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jc w:val="both"/>
        <w:rPr>
          <w:rFonts w:ascii="Roboto" w:hAnsi="Roboto" w:eastAsia="Roboto" w:cs="Roboto"/>
        </w:rPr>
      </w:pPr>
      <w:r>
        <w:rPr>
          <w:rFonts w:ascii="Roboto" w:hAnsi="Roboto" w:eastAsia="Roboto" w:cs="Roboto"/>
        </w:rPr>
        <w:t xml:space="preserve">Esta norma, desarrollada por el Comité Europeo de Normalización de </w:t>
      </w:r>
      <w:r>
        <w:rPr>
          <w:rFonts w:ascii="Roboto" w:hAnsi="Roboto" w:eastAsia="Roboto" w:cs="Roboto"/>
        </w:rPr>
        <w:t>Tecnologías de la Información (ETSI), establece los r</w:t>
      </w:r>
      <w:r>
        <w:rPr>
          <w:rFonts w:ascii="Roboto" w:hAnsi="Roboto" w:eastAsia="Roboto" w:cs="Roboto"/>
          <w:b/>
        </w:rPr>
        <w:t>equisitos de accesibilidad para productos y servicios TIC</w:t>
      </w:r>
      <w:r>
        <w:rPr>
          <w:rFonts w:ascii="Roboto" w:hAnsi="Roboto" w:eastAsia="Roboto" w:cs="Roboto"/>
        </w:rPr>
        <w:t>, para ser accesibles a todas las personas, independientemente de sus capacidades físicas, sensoriales o cognitivas, pueda interactuar con estos sistemas de forma autónoma, segura y eficaz.</w:t>
      </w:r>
    </w:p>
    <w:p w:rsidR="00C816B3" w:rsidP="0E12512F" w:rsidRDefault="00777460" w14:paraId="74C89BA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themeFill="background1"/>
        <w:spacing w:after="160"/>
        <w:jc w:val="both"/>
        <w:rPr>
          <w:rFonts w:ascii="Roboto" w:hAnsi="Roboto" w:eastAsia="Roboto" w:cs="Roboto"/>
          <w:lang w:val="es-ES"/>
        </w:rPr>
      </w:pPr>
      <w:r w:rsidRPr="0E12512F">
        <w:rPr>
          <w:rFonts w:ascii="Roboto" w:hAnsi="Roboto" w:eastAsia="Roboto" w:cs="Roboto"/>
          <w:lang w:val="es-ES"/>
        </w:rPr>
        <w:t>La acreditación de ENAC es una herramienta para poder identificar a las entidades que han demostrado ser técnicamente competentes y fiables, que disponen de los recursos materiales y humanos necesarios, y, por supuesto, que están sometidas a estrictos controles internos y externos para asegurar la veracidad y valor de sus certificados.</w:t>
      </w:r>
    </w:p>
    <w:p w:rsidR="00C816B3" w:rsidP="0E12512F" w:rsidRDefault="00777460" w14:paraId="74C89BA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themeFill="background1"/>
        <w:spacing w:after="160"/>
        <w:jc w:val="both"/>
        <w:rPr>
          <w:rFonts w:ascii="Roboto" w:hAnsi="Roboto" w:eastAsia="Roboto" w:cs="Roboto"/>
          <w:lang w:val="es-ES"/>
        </w:rPr>
      </w:pPr>
      <w:r w:rsidRPr="0E12512F">
        <w:rPr>
          <w:rFonts w:ascii="Roboto" w:hAnsi="Roboto" w:eastAsia="Roboto" w:cs="Roboto"/>
          <w:lang w:val="es-ES"/>
        </w:rPr>
        <w:t>Por ello, esta acreditación supone un paso más en el marco nacional de la accesibilidad digital, ya que se trata de la primera vez que ENAC reconoce formalmente la competencia técnica de una entidad para evaluar la accesibilidad de estos terminales, aportando confianza en una actividad destinada a garantizar la igualdad de acceso a servicios electrónicos.</w:t>
      </w:r>
    </w:p>
    <w:p w:rsidR="00C816B3" w:rsidRDefault="00C816B3" w14:paraId="74C89BB0"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Roboto" w:hAnsi="Roboto" w:eastAsia="Roboto" w:cs="Roboto"/>
          <w:sz w:val="22"/>
          <w:szCs w:val="22"/>
        </w:rPr>
      </w:pPr>
    </w:p>
    <w:p w:rsidR="00C816B3" w:rsidRDefault="00777460" w14:paraId="74C89BB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jc w:val="both"/>
        <w:rPr>
          <w:rFonts w:ascii="Roboto" w:hAnsi="Roboto" w:eastAsia="Roboto" w:cs="Roboto"/>
          <w:color w:val="E83544"/>
        </w:rPr>
      </w:pPr>
      <w:r>
        <w:rPr>
          <w:rFonts w:ascii="Roboto" w:hAnsi="Roboto" w:eastAsia="Roboto" w:cs="Roboto"/>
          <w:b/>
          <w:color w:val="E83544"/>
        </w:rPr>
        <w:t>Sobre ENAC</w:t>
      </w:r>
      <w:r>
        <w:rPr>
          <w:rFonts w:ascii="Roboto" w:hAnsi="Roboto" w:eastAsia="Roboto" w:cs="Roboto"/>
          <w:color w:val="E83544"/>
        </w:rPr>
        <w:t xml:space="preserve"> </w:t>
      </w:r>
    </w:p>
    <w:p w:rsidR="00C816B3" w:rsidRDefault="00777460" w14:paraId="74C89BB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rPr>
      </w:pPr>
      <w:r>
        <w:rPr>
          <w:rFonts w:ascii="Roboto" w:hAnsi="Roboto" w:eastAsia="Roboto" w:cs="Roboto"/>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w:rsidR="00C816B3" w:rsidRDefault="00C816B3" w14:paraId="74C89BB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rPr>
      </w:pPr>
    </w:p>
    <w:p w:rsidR="00C816B3" w:rsidRDefault="00C816B3" w14:paraId="74C89BB4"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rPr>
      </w:pPr>
    </w:p>
    <w:p w:rsidR="00C816B3" w:rsidRDefault="00C816B3" w14:paraId="74C89BB5"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rPr>
      </w:pPr>
    </w:p>
    <w:p w:rsidR="00C816B3" w:rsidRDefault="00777460" w14:paraId="74C89BB6"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rPr>
      </w:pPr>
      <w:r>
        <w:rPr>
          <w:rFonts w:ascii="Roboto" w:hAnsi="Roboto" w:eastAsia="Roboto" w:cs="Roboto"/>
        </w:rPr>
        <w:t>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w:t>
      </w:r>
      <w:r>
        <w:rPr>
          <w:rFonts w:ascii="Roboto" w:hAnsi="Roboto" w:eastAsia="Roboto" w:cs="Roboto"/>
        </w:rPr>
        <w:t xml:space="preserve">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rsidR="00C816B3" w:rsidRDefault="00C816B3" w14:paraId="74C89BB7"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rPr>
      </w:pPr>
    </w:p>
    <w:p w:rsidR="00C816B3" w:rsidRDefault="00777460" w14:paraId="74C89BB8"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rPr>
      </w:pPr>
      <w:r>
        <w:rPr>
          <w:rFonts w:ascii="Roboto" w:hAnsi="Roboto" w:eastAsia="Roboto" w:cs="Roboto"/>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rsidR="00C816B3" w:rsidRDefault="00C816B3" w14:paraId="74C89BB9" w14:textId="77777777">
      <w:pPr>
        <w:jc w:val="both"/>
        <w:rPr>
          <w:rFonts w:ascii="Roboto" w:hAnsi="Roboto" w:eastAsia="Roboto" w:cs="Roboto"/>
        </w:rPr>
      </w:pPr>
    </w:p>
    <w:p w:rsidR="00C816B3" w:rsidRDefault="00C816B3" w14:paraId="74C89BBA" w14:textId="77777777">
      <w:pPr>
        <w:pBdr>
          <w:bottom w:val="single" w:color="000000" w:sz="12" w:space="1"/>
        </w:pBdr>
        <w:jc w:val="both"/>
        <w:rPr>
          <w:rFonts w:ascii="Roboto" w:hAnsi="Roboto" w:eastAsia="Roboto" w:cs="Roboto"/>
          <w:color w:val="E83544"/>
        </w:rPr>
      </w:pPr>
      <w:hyperlink r:id="rId12">
        <w:r>
          <w:rPr>
            <w:rFonts w:ascii="Roboto" w:hAnsi="Roboto" w:eastAsia="Roboto" w:cs="Roboto"/>
            <w:color w:val="E83544"/>
            <w:u w:val="single"/>
          </w:rPr>
          <w:t>www.enac.es</w:t>
        </w:r>
      </w:hyperlink>
      <w:r w:rsidR="00777460">
        <w:rPr>
          <w:rFonts w:ascii="Roboto" w:hAnsi="Roboto" w:eastAsia="Roboto" w:cs="Roboto"/>
          <w:color w:val="E83544"/>
        </w:rPr>
        <w:t xml:space="preserve"> </w:t>
      </w:r>
    </w:p>
    <w:p w:rsidR="00C816B3" w:rsidRDefault="00C816B3" w14:paraId="74C89BBB" w14:textId="77777777">
      <w:pPr>
        <w:pBdr>
          <w:bottom w:val="single" w:color="000000" w:sz="12" w:space="1"/>
        </w:pBdr>
        <w:jc w:val="both"/>
        <w:rPr>
          <w:rFonts w:ascii="Roboto" w:hAnsi="Roboto" w:eastAsia="Roboto" w:cs="Roboto"/>
          <w:color w:val="E83544"/>
        </w:rPr>
      </w:pPr>
    </w:p>
    <w:p w:rsidR="00C816B3" w:rsidRDefault="00777460" w14:paraId="74C89BBC" w14:textId="77777777">
      <w:pPr>
        <w:pBdr>
          <w:bottom w:val="single" w:color="000000" w:sz="12" w:space="1"/>
        </w:pBdr>
        <w:jc w:val="both"/>
        <w:rPr>
          <w:rFonts w:ascii="Roboto" w:hAnsi="Roboto" w:eastAsia="Roboto" w:cs="Roboto"/>
        </w:rPr>
      </w:pPr>
      <w:r>
        <w:rPr>
          <w:rFonts w:ascii="Roboto" w:hAnsi="Roboto" w:eastAsia="Roboto" w:cs="Roboto"/>
          <w:color w:val="0000FF"/>
        </w:rPr>
        <w:t xml:space="preserve"> </w:t>
      </w:r>
      <w:r>
        <w:rPr>
          <w:rFonts w:ascii="Roboto" w:hAnsi="Roboto" w:eastAsia="Roboto" w:cs="Roboto"/>
          <w:noProof/>
          <w:color w:val="0000FF"/>
        </w:rPr>
        <w:drawing>
          <wp:inline distT="114300" distB="114300" distL="114300" distR="114300" wp14:anchorId="74C89BC2" wp14:editId="74C89BC3">
            <wp:extent cx="297039" cy="297039"/>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97039" cy="297039"/>
                    </a:xfrm>
                    <a:prstGeom prst="rect">
                      <a:avLst/>
                    </a:prstGeom>
                    <a:ln/>
                  </pic:spPr>
                </pic:pic>
              </a:graphicData>
            </a:graphic>
          </wp:inline>
        </w:drawing>
      </w:r>
      <w:r>
        <w:rPr>
          <w:rFonts w:ascii="Roboto" w:hAnsi="Roboto" w:eastAsia="Roboto" w:cs="Roboto"/>
          <w:color w:val="0000FF"/>
        </w:rPr>
        <w:t xml:space="preserve"> </w:t>
      </w:r>
      <w:r>
        <w:rPr>
          <w:rFonts w:ascii="Roboto" w:hAnsi="Roboto" w:eastAsia="Roboto" w:cs="Roboto"/>
          <w:noProof/>
          <w:color w:val="0000FF"/>
        </w:rPr>
        <w:drawing>
          <wp:inline distT="0" distB="0" distL="0" distR="0" wp14:anchorId="74C89BC4" wp14:editId="74C89BC5">
            <wp:extent cx="304800" cy="304800"/>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04800" cy="304800"/>
                    </a:xfrm>
                    <a:prstGeom prst="rect">
                      <a:avLst/>
                    </a:prstGeom>
                    <a:ln/>
                  </pic:spPr>
                </pic:pic>
              </a:graphicData>
            </a:graphic>
          </wp:inline>
        </w:drawing>
      </w:r>
    </w:p>
    <w:p w:rsidR="00C816B3" w:rsidRDefault="00C816B3" w14:paraId="74C89BBD" w14:textId="77777777">
      <w:pPr>
        <w:pBdr>
          <w:bottom w:val="single" w:color="000000" w:sz="12" w:space="1"/>
        </w:pBdr>
        <w:jc w:val="both"/>
        <w:rPr>
          <w:rFonts w:ascii="Roboto" w:hAnsi="Roboto" w:eastAsia="Roboto" w:cs="Roboto"/>
          <w:color w:val="E83544"/>
        </w:rPr>
      </w:pPr>
    </w:p>
    <w:p w:rsidR="00C816B3" w:rsidRDefault="00C816B3" w14:paraId="74C89BBE" w14:textId="77777777">
      <w:pPr>
        <w:jc w:val="both"/>
        <w:rPr>
          <w:rFonts w:ascii="Roboto" w:hAnsi="Roboto" w:eastAsia="Roboto" w:cs="Roboto"/>
          <w:color w:val="E83544"/>
        </w:rPr>
      </w:pPr>
    </w:p>
    <w:p w:rsidR="00C816B3" w:rsidRDefault="00777460" w14:paraId="74C89BBF" w14:textId="77777777">
      <w:pPr>
        <w:jc w:val="both"/>
        <w:rPr>
          <w:rFonts w:ascii="Roboto" w:hAnsi="Roboto" w:eastAsia="Roboto" w:cs="Roboto"/>
        </w:rPr>
      </w:pPr>
      <w:r>
        <w:rPr>
          <w:rFonts w:ascii="Roboto" w:hAnsi="Roboto" w:eastAsia="Roboto" w:cs="Roboto"/>
        </w:rPr>
        <w:t>Para más información sobre la nota de prensa, resolver dudas o gestionar entrevistas</w:t>
      </w:r>
    </w:p>
    <w:p w:rsidR="00C816B3" w:rsidRDefault="00777460" w14:paraId="74C89BC0" w14:textId="77777777">
      <w:pPr>
        <w:jc w:val="both"/>
        <w:rPr>
          <w:rFonts w:ascii="Roboto" w:hAnsi="Roboto" w:eastAsia="Roboto" w:cs="Roboto"/>
        </w:rPr>
      </w:pPr>
      <w:r>
        <w:rPr>
          <w:rFonts w:ascii="Roboto" w:hAnsi="Roboto" w:eastAsia="Roboto" w:cs="Roboto"/>
        </w:rPr>
        <w:t>Eva Martín</w:t>
      </w:r>
    </w:p>
    <w:p w:rsidR="00C816B3" w:rsidRDefault="00777460" w14:paraId="74C89BC1" w14:textId="77777777">
      <w:pPr>
        <w:jc w:val="both"/>
        <w:rPr>
          <w:rFonts w:ascii="Calibri" w:hAnsi="Calibri" w:eastAsia="Calibri" w:cs="Calibri"/>
          <w:sz w:val="26"/>
          <w:szCs w:val="26"/>
          <w:highlight w:val="white"/>
        </w:rPr>
      </w:pPr>
      <w:r>
        <w:rPr>
          <w:rFonts w:ascii="Roboto" w:hAnsi="Roboto" w:eastAsia="Roboto" w:cs="Roboto"/>
        </w:rPr>
        <w:t xml:space="preserve">Tfno. 628 17 49 01 / </w:t>
      </w:r>
      <w:r>
        <w:rPr>
          <w:rFonts w:ascii="Roboto" w:hAnsi="Roboto" w:eastAsia="Roboto" w:cs="Roboto"/>
          <w:color w:val="E83544"/>
        </w:rPr>
        <w:t xml:space="preserve"> </w:t>
      </w:r>
      <w:hyperlink r:id="rId15">
        <w:r w:rsidR="00C816B3">
          <w:rPr>
            <w:rFonts w:ascii="Roboto" w:hAnsi="Roboto" w:eastAsia="Roboto" w:cs="Roboto"/>
            <w:color w:val="E83544"/>
            <w:u w:val="single"/>
          </w:rPr>
          <w:t>evamc@varenga.es</w:t>
        </w:r>
      </w:hyperlink>
    </w:p>
    <w:sectPr w:rsidR="00C816B3">
      <w:headerReference w:type="even" r:id="rId16"/>
      <w:headerReference w:type="default" r:id="rId17"/>
      <w:footerReference w:type="even" r:id="rId18"/>
      <w:footerReference w:type="default" r:id="rId19"/>
      <w:headerReference w:type="first" r:id="rId20"/>
      <w:footerReference w:type="first" r:id="rId21"/>
      <w:pgSz w:w="11906" w:h="16838" w:orient="portrait"/>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40DB5" w:rsidRDefault="00E40DB5" w14:paraId="4DDF137C" w14:textId="77777777">
      <w:r>
        <w:separator/>
      </w:r>
    </w:p>
  </w:endnote>
  <w:endnote w:type="continuationSeparator" w:id="0">
    <w:p w:rsidR="00E40DB5" w:rsidRDefault="00E40DB5" w14:paraId="20C7866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w:fontKey="{6621A960-250F-4E92-91C7-3D9768698F85}" r:id="rId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A235BF51-BB6E-4334-9A85-F1782CC3D6D3}" r:id="rId2"/>
    <w:embedItalic w:fontKey="{04CADC3F-5566-41B0-935D-165D7C8CF1C2}" r:id="rId3"/>
  </w:font>
  <w:font w:name="Roboto">
    <w:panose1 w:val="02000000000000000000"/>
    <w:charset w:val="00"/>
    <w:family w:val="auto"/>
    <w:pitch w:val="variable"/>
    <w:sig w:usb0="E0000AFF" w:usb1="5000217F" w:usb2="00000021" w:usb3="00000000" w:csb0="0000019F" w:csb1="00000000"/>
    <w:embedRegular w:fontKey="{79765D56-D42A-4460-89FC-E524668991B5}" r:id="rId4"/>
    <w:embedBold w:fontKey="{B6379253-736C-4A33-B531-3169030C2A00}" r:id="rId5"/>
  </w:font>
  <w:font w:name="Calibri">
    <w:panose1 w:val="020F0502020204030204"/>
    <w:charset w:val="00"/>
    <w:family w:val="swiss"/>
    <w:pitch w:val="variable"/>
    <w:sig w:usb0="E4002EFF" w:usb1="C200247B" w:usb2="00000009" w:usb3="00000000" w:csb0="000001FF" w:csb1="00000000"/>
    <w:embedRegular w:fontKey="{99558FE5-FAF7-4BD3-B70F-7D03FA5BB0F9}" r:id="rId6"/>
    <w:embedBold w:fontKey="{FB5290A8-EA19-4D2E-B26D-E5AE13E4BF53}" r:id="rId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7769F11-348E-4F47-BA90-B8279CF286EC}" r:id="rId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16B3" w:rsidRDefault="00C816B3" w14:paraId="74C89BCA" w14:textId="7777777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16B3" w:rsidRDefault="00777460" w14:paraId="74C89BCB" w14:textId="39F9D275">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486C58">
      <w:rPr>
        <w:noProof/>
        <w:color w:val="000000"/>
      </w:rPr>
      <w:t>1</w:t>
    </w:r>
    <w:r>
      <w:rPr>
        <w:color w:val="000000"/>
      </w:rPr>
      <w:fldChar w:fldCharType="end"/>
    </w:r>
  </w:p>
  <w:p w:rsidR="00C816B3" w:rsidRDefault="00C816B3" w14:paraId="74C89BCC" w14:textId="77777777">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16B3" w:rsidRDefault="00C816B3" w14:paraId="74C89BCE" w14:textId="7777777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40DB5" w:rsidRDefault="00E40DB5" w14:paraId="1CD03299" w14:textId="77777777">
      <w:r>
        <w:separator/>
      </w:r>
    </w:p>
  </w:footnote>
  <w:footnote w:type="continuationSeparator" w:id="0">
    <w:p w:rsidR="00E40DB5" w:rsidRDefault="00E40DB5" w14:paraId="674CE1D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16B3" w:rsidRDefault="00C816B3" w14:paraId="74C89BC6" w14:textId="7777777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C816B3" w:rsidRDefault="00777460" w14:paraId="74C89BC7" w14:textId="77777777">
    <w:pPr>
      <w:ind w:left="-120"/>
      <w:jc w:val="both"/>
      <w:rPr>
        <w:rFonts w:ascii="Calibri" w:hAnsi="Calibri" w:eastAsia="Calibri" w:cs="Calibri"/>
        <w:b/>
        <w:sz w:val="40"/>
        <w:szCs w:val="40"/>
      </w:rPr>
    </w:pPr>
    <w:r>
      <w:rPr>
        <w:noProof/>
      </w:rPr>
      <w:drawing>
        <wp:anchor distT="114300" distB="114300" distL="114300" distR="114300" simplePos="0" relativeHeight="251658240" behindDoc="0" locked="0" layoutInCell="1" hidden="0" allowOverlap="1" wp14:anchorId="74C89BCF" wp14:editId="74C89BD0">
          <wp:simplePos x="0" y="0"/>
          <wp:positionH relativeFrom="column">
            <wp:posOffset>4114800</wp:posOffset>
          </wp:positionH>
          <wp:positionV relativeFrom="paragraph">
            <wp:posOffset>-304773</wp:posOffset>
          </wp:positionV>
          <wp:extent cx="1547842" cy="997267"/>
          <wp:effectExtent l="0" t="0" r="0" b="0"/>
          <wp:wrapSquare wrapText="bothSides" distT="114300" distB="114300" distL="114300" distR="114300"/>
          <wp:docPr id="3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rsidR="00C816B3" w:rsidRDefault="00777460" w14:paraId="74C89BC8" w14:textId="77777777">
    <w:pPr>
      <w:ind w:left="-120"/>
      <w:jc w:val="both"/>
      <w:rPr>
        <w:rFonts w:ascii="Roboto" w:hAnsi="Roboto" w:eastAsia="Roboto" w:cs="Roboto"/>
        <w:sz w:val="22"/>
        <w:szCs w:val="22"/>
      </w:rPr>
    </w:pPr>
    <w:r>
      <w:rPr>
        <w:rFonts w:ascii="Roboto" w:hAnsi="Roboto" w:eastAsia="Roboto" w:cs="Roboto"/>
        <w:b/>
        <w:sz w:val="40"/>
        <w:szCs w:val="40"/>
      </w:rPr>
      <w:t>NOTA DE PRENSA</w:t>
    </w:r>
    <w:r>
      <w:rPr>
        <w:rFonts w:ascii="Roboto" w:hAnsi="Roboto" w:eastAsia="Roboto" w:cs="Roboto"/>
        <w:sz w:val="22"/>
        <w:szCs w:val="22"/>
      </w:rPr>
      <w:t xml:space="preserve"> </w:t>
    </w:r>
  </w:p>
  <w:p w:rsidR="00C816B3" w:rsidRDefault="00C816B3" w14:paraId="74C89BC9" w14:textId="77777777">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16B3" w:rsidRDefault="00C816B3" w14:paraId="74C89BCD" w14:textId="7777777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067175"/>
    <w:multiLevelType w:val="multilevel"/>
    <w:tmpl w:val="B8BE0502"/>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3587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tru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6B3"/>
    <w:rsid w:val="000E5BE2"/>
    <w:rsid w:val="00486C58"/>
    <w:rsid w:val="00777460"/>
    <w:rsid w:val="00A0429E"/>
    <w:rsid w:val="00C816B3"/>
    <w:rsid w:val="00E40DB5"/>
    <w:rsid w:val="00F30748"/>
    <w:rsid w:val="0C3FF97A"/>
    <w:rsid w:val="0E12512F"/>
    <w:rsid w:val="4691AA42"/>
    <w:rsid w:val="7DEA884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89BA2"/>
  <w15:docId w15:val="{6560620F-5A0B-4308-A497-1CCE1DF4A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eNormal0" w:customStyle="1">
    <w:name w:val="TableNormal0"/>
    <w:tblPr>
      <w:tblCellMar>
        <w:top w:w="0" w:type="dxa"/>
        <w:left w:w="0" w:type="dxa"/>
        <w:bottom w:w="0" w:type="dxa"/>
        <w:right w:w="0" w:type="dxa"/>
      </w:tblCellMar>
    </w:tblPr>
  </w:style>
  <w:style w:type="table" w:styleId="TableNormal1" w:customStyle="1">
    <w:name w:val="Table Normal"/>
    <w:tblPr>
      <w:tblCellMar>
        <w:top w:w="0" w:type="dxa"/>
        <w:left w:w="0" w:type="dxa"/>
        <w:bottom w:w="0" w:type="dxa"/>
        <w:right w:w="0" w:type="dxa"/>
      </w:tblCellMar>
    </w:tblPr>
  </w:style>
  <w:style w:type="table" w:styleId="TableNormal00" w:customStyle="1">
    <w:name w:val="Table Normal0"/>
    <w:tblPr>
      <w:tblCellMar>
        <w:top w:w="0" w:type="dxa"/>
        <w:left w:w="0" w:type="dxa"/>
        <w:bottom w:w="0" w:type="dxa"/>
        <w:right w:w="0" w:type="dxa"/>
      </w:tblCellMar>
    </w:tblPr>
  </w:style>
  <w:style w:type="table" w:styleId="TableNormal10" w:customStyle="1">
    <w:name w:val="Table Normal1"/>
    <w:tblPr>
      <w:tblCellMar>
        <w:top w:w="0" w:type="dxa"/>
        <w:left w:w="0" w:type="dxa"/>
        <w:bottom w:w="0" w:type="dxa"/>
        <w:right w:w="0" w:type="dxa"/>
      </w:tblCellMar>
    </w:tblPr>
  </w:style>
  <w:style w:type="table" w:styleId="TableNormal2" w:customStyle="1">
    <w:name w:val="Table Normal2"/>
    <w:tblPr>
      <w:tblCellMar>
        <w:top w:w="0" w:type="dxa"/>
        <w:left w:w="0" w:type="dxa"/>
        <w:bottom w:w="0" w:type="dxa"/>
        <w:right w:w="0" w:type="dxa"/>
      </w:tblCellMar>
    </w:tblPr>
  </w:style>
  <w:style w:type="table" w:styleId="TableNormal3" w:customStyle="1">
    <w:name w:val="Table Normal3"/>
    <w:tblPr>
      <w:tblCellMar>
        <w:top w:w="0" w:type="dxa"/>
        <w:left w:w="0" w:type="dxa"/>
        <w:bottom w:w="0" w:type="dxa"/>
        <w:right w:w="0" w:type="dxa"/>
      </w:tblCellMar>
    </w:tblPr>
  </w:style>
  <w:style w:type="table" w:styleId="TableNormal4" w:customStyle="1">
    <w:name w:val="Table Normal4"/>
    <w:tblPr>
      <w:tblCellMar>
        <w:top w:w="0" w:type="dxa"/>
        <w:left w:w="0" w:type="dxa"/>
        <w:bottom w:w="0" w:type="dxa"/>
        <w:right w:w="0" w:type="dxa"/>
      </w:tblCellMar>
    </w:tblPr>
  </w:style>
  <w:style w:type="table" w:styleId="TableNormal5" w:customStyle="1">
    <w:name w:val="Table Normal5"/>
    <w:tblPr>
      <w:tblCellMar>
        <w:top w:w="0" w:type="dxa"/>
        <w:left w:w="0" w:type="dxa"/>
        <w:bottom w:w="0" w:type="dxa"/>
        <w:right w:w="0" w:type="dxa"/>
      </w:tblCellMar>
    </w:tblPr>
  </w:style>
  <w:style w:type="table" w:styleId="TableNormal6" w:customStyle="1">
    <w:name w:val="Table Normal6"/>
    <w:tblPr>
      <w:tblCellMar>
        <w:top w:w="0" w:type="dxa"/>
        <w:left w:w="0" w:type="dxa"/>
        <w:bottom w:w="0" w:type="dxa"/>
        <w:right w:w="0" w:type="dxa"/>
      </w:tblCellMar>
    </w:tblPr>
  </w:style>
  <w:style w:type="table" w:styleId="TableNormal7" w:customStyle="1">
    <w:name w:val="Table Normal7"/>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Revisin">
    <w:name w:val="Revision"/>
    <w:hidden/>
    <w:uiPriority w:val="99"/>
    <w:semiHidden/>
    <w:rsid w:val="00486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hyperlink" Target="http://www.enac.es"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yperlink" Target="mailto:evamc@varenga.es"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fontTable" Target="fontTable.xml" Id="rId22" /><Relationship Type="http://schemas.openxmlformats.org/officeDocument/2006/relationships/hyperlink" Target="https://www.enac.es/" TargetMode="External" Id="R330a9fdd85704d6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wCmJnOEKCTVs/ox1jq1vlytJCg==">CgMxLjA4AGojChRzdWdnZXN0LmxtYWxibXJra24xdRILRXZhIE1hcnTDrW5qIwoUc3VnZ2VzdC40Ym92anZqZGllZzgSC0V2YSBNYXJ0w61uaiMKFHN1Z2dlc3QuYmI2NzRlZnZhY3pkEgtFdmEgTWFydMOtbmojChRzdWdnZXN0Lm81bXloYXhsc2cycBILRXZhIE1hcnTDrW5yITFkbGE0TzAyZENQVGNrTU1LVUx4TE5DSjdYMmMxYklaVA==</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791449-C990-49DF-8424-45EA1D740C24}">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413EC21-6E90-4F29-9379-F58E3DA8362A}">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4.xml><?xml version="1.0" encoding="utf-8"?>
<ds:datastoreItem xmlns:ds="http://schemas.openxmlformats.org/officeDocument/2006/customXml" ds:itemID="{5BF0612D-B6AB-4133-A0E6-07050C8E74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Elena Lendinez Leal</lastModifiedBy>
  <revision>5</revision>
  <dcterms:created xsi:type="dcterms:W3CDTF">2025-07-29T08:15:00.0000000Z</dcterms:created>
  <dcterms:modified xsi:type="dcterms:W3CDTF">2025-07-29T08:15:42.8284769Z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0x0101009152DE15686E4843A3780C010A78B13A</vt:lpwstr>
  </property>
</Properties>
</file>