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05556E" w:rsidRDefault="0005556E" w14:paraId="2061EC36" w14:textId="77777777"/>
    <w:p w:rsidR="0005556E" w:rsidRDefault="0005556E" w14:paraId="2061EC37" w14:textId="77777777">
      <w:pPr>
        <w:jc w:val="center"/>
        <w:rPr>
          <w:rFonts w:ascii="Roboto" w:hAnsi="Roboto" w:eastAsia="Roboto" w:cs="Roboto"/>
          <w:b/>
          <w:sz w:val="36"/>
          <w:szCs w:val="36"/>
        </w:rPr>
      </w:pPr>
    </w:p>
    <w:p w:rsidR="0005556E" w:rsidRDefault="00000000" w14:paraId="2061EC38" w14:textId="77777777">
      <w:pPr>
        <w:jc w:val="center"/>
        <w:rPr>
          <w:rFonts w:ascii="Roboto" w:hAnsi="Roboto" w:eastAsia="Roboto" w:cs="Roboto"/>
          <w:b/>
          <w:sz w:val="34"/>
          <w:szCs w:val="34"/>
        </w:rPr>
      </w:pPr>
      <w:r>
        <w:rPr>
          <w:rFonts w:ascii="Roboto" w:hAnsi="Roboto" w:eastAsia="Roboto" w:cs="Roboto"/>
          <w:b/>
          <w:sz w:val="34"/>
          <w:szCs w:val="34"/>
        </w:rPr>
        <w:t>ENAC concede al Biobanco del Sistema Sanitario Público de Andalucía la primera acreditación en líneas celulares pluripotentes humanas</w:t>
      </w:r>
    </w:p>
    <w:p w:rsidR="0005556E" w:rsidRDefault="0005556E" w14:paraId="2061EC39" w14:textId="77777777">
      <w:pPr>
        <w:jc w:val="center"/>
        <w:rPr>
          <w:rFonts w:ascii="Roboto" w:hAnsi="Roboto" w:eastAsia="Roboto" w:cs="Roboto"/>
          <w:b/>
          <w:sz w:val="20"/>
          <w:szCs w:val="20"/>
        </w:rPr>
      </w:pPr>
    </w:p>
    <w:p w:rsidR="0005556E" w:rsidRDefault="00000000" w14:paraId="2061EC3A" w14:textId="77777777">
      <w:pPr>
        <w:numPr>
          <w:ilvl w:val="0"/>
          <w:numId w:val="1"/>
        </w:numPr>
        <w:jc w:val="both"/>
        <w:rPr>
          <w:rFonts w:ascii="Roboto" w:hAnsi="Roboto" w:eastAsia="Roboto" w:cs="Roboto"/>
          <w:b/>
          <w:sz w:val="20"/>
          <w:szCs w:val="20"/>
        </w:rPr>
      </w:pPr>
      <w:r>
        <w:rPr>
          <w:rFonts w:ascii="Roboto" w:hAnsi="Roboto" w:eastAsia="Roboto" w:cs="Roboto"/>
          <w:b/>
          <w:sz w:val="22"/>
          <w:szCs w:val="22"/>
        </w:rPr>
        <w:t>Estas líneas celulares son fundamentales para la investigación biomédica, ya que permiten avanzar en el desarrollo de nuevos tratamientos, así como en el estudio del origen y evolución de numerosas enfermedades, incluidas aquellas de carácter genético, degenerativo o cáncer.</w:t>
      </w:r>
    </w:p>
    <w:p w:rsidR="0005556E" w:rsidRDefault="0005556E" w14:paraId="2061EC3B" w14:textId="77777777">
      <w:pPr>
        <w:ind w:left="720"/>
        <w:jc w:val="both"/>
        <w:rPr>
          <w:rFonts w:ascii="Roboto" w:hAnsi="Roboto" w:eastAsia="Roboto" w:cs="Roboto"/>
          <w:b/>
          <w:sz w:val="22"/>
          <w:szCs w:val="22"/>
        </w:rPr>
      </w:pPr>
    </w:p>
    <w:p w:rsidR="0005556E" w:rsidP="6562A5C0" w:rsidRDefault="00000000" w14:paraId="2061EC3C" w14:textId="77777777">
      <w:pPr>
        <w:numPr>
          <w:ilvl w:val="0"/>
          <w:numId w:val="1"/>
        </w:numPr>
        <w:jc w:val="both"/>
        <w:rPr>
          <w:rFonts w:ascii="Roboto" w:hAnsi="Roboto" w:eastAsia="Roboto" w:cs="Roboto"/>
          <w:b w:val="1"/>
          <w:bCs w:val="1"/>
        </w:rPr>
      </w:pPr>
      <w:r w:rsidRPr="6562A5C0" w:rsidR="00000000">
        <w:rPr>
          <w:rFonts w:ascii="Roboto" w:hAnsi="Roboto" w:eastAsia="Roboto" w:cs="Roboto"/>
          <w:b w:val="1"/>
          <w:bCs w:val="1"/>
          <w:sz w:val="22"/>
          <w:szCs w:val="22"/>
        </w:rPr>
        <w:t>“Creemos que la acreditación por la norma de referencia ISO 20387 aportará confianza a los usuarios del Biobanco del SSPA (investigadores y donantes)</w:t>
      </w:r>
      <w:r w:rsidRPr="6562A5C0" w:rsidR="00000000">
        <w:rPr>
          <w:rFonts w:ascii="Roboto" w:hAnsi="Roboto" w:eastAsia="Roboto" w:cs="Roboto"/>
          <w:sz w:val="22"/>
          <w:szCs w:val="22"/>
        </w:rPr>
        <w:t xml:space="preserve">”, </w:t>
      </w:r>
      <w:r w:rsidRPr="6562A5C0" w:rsidR="00000000">
        <w:rPr>
          <w:rFonts w:ascii="Roboto" w:hAnsi="Roboto" w:eastAsia="Roboto" w:cs="Roboto"/>
          <w:b w:val="1"/>
          <w:bCs w:val="1"/>
          <w:sz w:val="22"/>
          <w:szCs w:val="22"/>
        </w:rPr>
        <w:t xml:space="preserve">Rocío Aguilar-Quesada, </w:t>
      </w:r>
      <w:bookmarkStart w:name="_Int_37Y1Jnlx" w:id="840399157"/>
      <w:r w:rsidRPr="6562A5C0" w:rsidR="00000000">
        <w:rPr>
          <w:rFonts w:ascii="Roboto" w:hAnsi="Roboto" w:eastAsia="Roboto" w:cs="Roboto"/>
          <w:b w:val="1"/>
          <w:bCs w:val="1"/>
          <w:sz w:val="22"/>
          <w:szCs w:val="22"/>
        </w:rPr>
        <w:t>Responsable</w:t>
      </w:r>
      <w:bookmarkEnd w:id="840399157"/>
      <w:r w:rsidRPr="6562A5C0" w:rsidR="00000000">
        <w:rPr>
          <w:rFonts w:ascii="Roboto" w:hAnsi="Roboto" w:eastAsia="Roboto" w:cs="Roboto"/>
          <w:b w:val="1"/>
          <w:bCs w:val="1"/>
          <w:sz w:val="22"/>
          <w:szCs w:val="22"/>
        </w:rPr>
        <w:t xml:space="preserve"> Técnico del Biobanco del Sistema Sanitario Público de Andalucía. </w:t>
      </w:r>
    </w:p>
    <w:p w:rsidR="0005556E" w:rsidRDefault="0005556E" w14:paraId="2061EC3D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ind w:left="720"/>
        <w:jc w:val="both"/>
        <w:rPr>
          <w:rFonts w:ascii="Roboto" w:hAnsi="Roboto" w:eastAsia="Roboto" w:cs="Roboto"/>
          <w:b/>
          <w:sz w:val="20"/>
          <w:szCs w:val="20"/>
        </w:rPr>
      </w:pPr>
    </w:p>
    <w:p w:rsidR="5C8A3A1E" w:rsidP="6562A5C0" w:rsidRDefault="5C8A3A1E" w14:paraId="064D4F03" w14:textId="0C339D7E">
      <w:pPr>
        <w:shd w:val="clear" w:color="auto" w:fill="FFFFFF" w:themeFill="background1"/>
        <w:spacing w:before="0" w:beforeAutospacing="off" w:after="0" w:afterAutospacing="off"/>
        <w:jc w:val="both"/>
      </w:pPr>
      <w:r w:rsidRPr="6562A5C0" w:rsidR="5C8A3A1E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Madrid, 10 de junio de 2025.- La</w:t>
      </w:r>
      <w:hyperlink r:id="R3a0c42faa8b54934">
        <w:r w:rsidRPr="6562A5C0" w:rsidR="5C8A3A1E">
          <w:rPr>
            <w:rStyle w:val="Hyperlink"/>
            <w:rFonts w:ascii="Roboto" w:hAnsi="Roboto" w:eastAsia="Roboto" w:cs="Roboto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s-ES"/>
          </w:rPr>
          <w:t xml:space="preserve"> </w:t>
        </w:r>
        <w:r w:rsidRPr="6562A5C0" w:rsidR="5C8A3A1E">
          <w:rPr>
            <w:rStyle w:val="Hyperlink"/>
            <w:rFonts w:ascii="Roboto" w:hAnsi="Roboto" w:eastAsia="Roboto" w:cs="Roboto"/>
            <w:b w:val="1"/>
            <w:bCs w:val="1"/>
            <w:i w:val="0"/>
            <w:iCs w:val="0"/>
            <w:strike w:val="0"/>
            <w:dstrike w:val="0"/>
            <w:noProof w:val="0"/>
            <w:color w:val="1155CC"/>
            <w:sz w:val="22"/>
            <w:szCs w:val="22"/>
            <w:u w:val="none"/>
            <w:lang w:val="es-ES"/>
          </w:rPr>
          <w:t>Entidad Nacional de Acreditación</w:t>
        </w:r>
      </w:hyperlink>
      <w:r w:rsidRPr="6562A5C0" w:rsidR="5C8A3A1E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(ENAC) ha </w:t>
      </w:r>
      <w:r w:rsidRPr="6562A5C0" w:rsidR="5C8A3A1E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otorgado al</w:t>
      </w:r>
      <w:r w:rsidRPr="6562A5C0" w:rsidR="5C8A3A1E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6562A5C0" w:rsidR="5C8A3A1E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Biobanco del Sistema Sanitario Público de Andalucía</w:t>
      </w:r>
      <w:r w:rsidRPr="6562A5C0" w:rsidR="5C8A3A1E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(SSPA) </w:t>
      </w:r>
      <w:r w:rsidRPr="6562A5C0" w:rsidR="5C8A3A1E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la primera acreditación en España</w:t>
      </w:r>
      <w:r w:rsidRPr="6562A5C0" w:rsidR="5C8A3A1E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para la actividad que desarrolla como Nodo de Granada del Banco Nacional de Líneas Celulares (BNLC),</w:t>
      </w:r>
      <w:r w:rsidRPr="6562A5C0" w:rsidR="5C8A3A1E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reconociendo así su competencia técnica para la adquisición, preparación, preservación, almacenamiento, control de calidad y distribución de muestras biológicas y datos asociados para su uso en investigación.</w:t>
      </w:r>
      <w:r w:rsidRPr="6562A5C0" w:rsidR="5C8A3A1E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</w:p>
    <w:p w:rsidR="6562A5C0" w:rsidP="6562A5C0" w:rsidRDefault="6562A5C0" w14:paraId="1A7F1B65" w14:textId="721961E9">
      <w:pPr>
        <w:jc w:val="both"/>
      </w:pPr>
    </w:p>
    <w:p w:rsidR="0005556E" w:rsidRDefault="00000000" w14:paraId="2061EC40" w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En concreto, esta acreditación respalda la actividad del biobanco relacionada con la custodia y distribución de líneas celulares pluripotentes humanas (hPSCs), entre l</w:t>
      </w:r>
      <w:r>
        <w:rPr>
          <w:rFonts w:ascii="Roboto" w:hAnsi="Roboto" w:eastAsia="Roboto" w:cs="Roboto"/>
          <w:b/>
          <w:sz w:val="22"/>
          <w:szCs w:val="22"/>
        </w:rPr>
        <w:t>as que se incluyen tanto células madre embrionarias</w:t>
      </w:r>
      <w:r>
        <w:rPr>
          <w:rFonts w:ascii="Roboto" w:hAnsi="Roboto" w:eastAsia="Roboto" w:cs="Roboto"/>
          <w:sz w:val="22"/>
          <w:szCs w:val="22"/>
        </w:rPr>
        <w:t xml:space="preserve"> (hESC) como </w:t>
      </w:r>
      <w:r>
        <w:rPr>
          <w:rFonts w:ascii="Roboto" w:hAnsi="Roboto" w:eastAsia="Roboto" w:cs="Roboto"/>
          <w:b/>
          <w:sz w:val="22"/>
          <w:szCs w:val="22"/>
        </w:rPr>
        <w:t>células madre pluripotentes inducidas</w:t>
      </w:r>
      <w:r>
        <w:rPr>
          <w:rFonts w:ascii="Roboto" w:hAnsi="Roboto" w:eastAsia="Roboto" w:cs="Roboto"/>
          <w:sz w:val="22"/>
          <w:szCs w:val="22"/>
        </w:rPr>
        <w:t xml:space="preserve"> (iPSCs). Estas líneas celulares son </w:t>
      </w:r>
      <w:r>
        <w:rPr>
          <w:rFonts w:ascii="Roboto" w:hAnsi="Roboto" w:eastAsia="Roboto" w:cs="Roboto"/>
          <w:b/>
          <w:sz w:val="22"/>
          <w:szCs w:val="22"/>
        </w:rPr>
        <w:t>fundamentales para la investigación biomédica</w:t>
      </w:r>
      <w:r>
        <w:rPr>
          <w:rFonts w:ascii="Roboto" w:hAnsi="Roboto" w:eastAsia="Roboto" w:cs="Roboto"/>
          <w:sz w:val="22"/>
          <w:szCs w:val="22"/>
        </w:rPr>
        <w:t>, ya que permiten avanzar en el desarrollo de nuevos tratamientos, así como en el estudio del origen y evolución de numerosas enfermedades, incluidas aquellas de carácter genético, degenerativo o cáncer.</w:t>
      </w:r>
    </w:p>
    <w:p w:rsidR="0005556E" w:rsidRDefault="0005556E" w14:paraId="2061EC41" w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w:rsidR="0005556E" w:rsidRDefault="00000000" w14:paraId="2061EC42" w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El Nodo de Granada actúa como una infraestructura clave para garantizar la disponibilidad, calidad y trazabilidad de este tipo de líneas celulares, que son utilizadas por investigadores tanto a nivel nacional como internacional. </w:t>
      </w:r>
    </w:p>
    <w:p w:rsidR="0005556E" w:rsidRDefault="0005556E" w14:paraId="2061EC43" w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w:rsidR="6E0E020F" w:rsidP="6562A5C0" w:rsidRDefault="6E0E020F" w14:paraId="076ADEB6" w14:textId="1DDC1812">
      <w:pPr>
        <w:shd w:val="clear" w:color="auto" w:fill="FFFFFF" w:themeFill="background1"/>
        <w:spacing w:before="0" w:beforeAutospacing="off" w:after="0" w:afterAutospacing="off"/>
        <w:jc w:val="both"/>
      </w:pPr>
      <w:r w:rsidRPr="6562A5C0" w:rsidR="6E0E020F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Gracias a esta acreditación, los usuarios podrán confiar en que los materiales biológicos que reciben han sido gestionados con la competencia técnica y rigor necesarios para ser utilizados de forma confiable. Así lo expone, </w:t>
      </w:r>
      <w:r w:rsidRPr="6562A5C0" w:rsidR="6E0E020F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Rocío Aguilar-Quesada, </w:t>
      </w:r>
      <w:r w:rsidRPr="6562A5C0" w:rsidR="6E0E020F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Responsable</w:t>
      </w:r>
      <w:r w:rsidRPr="6562A5C0" w:rsidR="6E0E020F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Técnico del Biobanco del Sistema Sanitario Público de Andalucía</w:t>
      </w:r>
      <w:r w:rsidRPr="6562A5C0" w:rsidR="6E0E020F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ES"/>
        </w:rPr>
        <w:t>:</w:t>
      </w:r>
      <w:r w:rsidRPr="6562A5C0" w:rsidR="6E0E020F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“La política de calidad del Biobanco del SSPA incluye garantizar la calidad en todos sus procesos, asegurando así un mejor servicio, y la mejora </w:t>
      </w:r>
      <w:r w:rsidRPr="6562A5C0" w:rsidR="6E0E020F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continua</w:t>
      </w:r>
      <w:r w:rsidRPr="6562A5C0" w:rsidR="6E0E020F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promoviendo la evaluación externa. La publicación de una norma ISO específica para la actividad de los biobancos y el proceso correspondiente de acreditación suponía una excelente oportunidad para cumplir con estos objetivos. Como nodo del BNLC, el Biobanco del SSPA tiene, a su vez, entre sus funciones, promover la calidad y seguridad de los procedimientos sobre los que ejerce su competencia, por lo que apostamos por un primer alcance de acreditación que recogiera la actividad de depósito y distribución de las líneas celulares pluripotentes humanas”. </w:t>
      </w:r>
    </w:p>
    <w:p w:rsidR="6562A5C0" w:rsidP="6562A5C0" w:rsidRDefault="6562A5C0" w14:paraId="35BA82AE" w14:textId="5B441E5D">
      <w:pPr>
        <w:jc w:val="both"/>
      </w:pPr>
    </w:p>
    <w:p w:rsidR="0005556E" w:rsidRDefault="00000000" w14:paraId="2061EC48" w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Asimismo, señala cuáles son los principales beneficios de esta acreditación para los usuarios de este servicio: “Creemos que la acreditación por la norma de referencia ISO 20387 </w:t>
      </w:r>
      <w:r>
        <w:rPr>
          <w:rFonts w:ascii="Roboto" w:hAnsi="Roboto" w:eastAsia="Roboto" w:cs="Roboto"/>
          <w:b/>
          <w:sz w:val="22"/>
          <w:szCs w:val="22"/>
        </w:rPr>
        <w:t>aportará confianza a los usuarios del Biobanco del SSPA</w:t>
      </w:r>
      <w:r>
        <w:rPr>
          <w:rFonts w:ascii="Roboto" w:hAnsi="Roboto" w:eastAsia="Roboto" w:cs="Roboto"/>
          <w:sz w:val="22"/>
          <w:szCs w:val="22"/>
        </w:rPr>
        <w:t xml:space="preserve"> (investigadores y donantes), así como visibilidad de la actividad realizada en el marco del BNLC promoviendo la calidad y acceso a recursos para investigación biomédica en línea con las estrategias nacionales e internacionales en biobancos”.</w:t>
      </w:r>
    </w:p>
    <w:p w:rsidR="0005556E" w:rsidRDefault="0005556E" w14:paraId="2061EC49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/>
        <w:jc w:val="both"/>
        <w:rPr>
          <w:rFonts w:ascii="Roboto" w:hAnsi="Roboto" w:eastAsia="Roboto" w:cs="Roboto"/>
          <w:b/>
          <w:color w:val="E83544"/>
          <w:sz w:val="22"/>
          <w:szCs w:val="22"/>
        </w:rPr>
      </w:pPr>
    </w:p>
    <w:p w:rsidR="0005556E" w:rsidRDefault="00000000" w14:paraId="2061EC4A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/>
        <w:jc w:val="both"/>
        <w:rPr>
          <w:rFonts w:ascii="Roboto" w:hAnsi="Roboto" w:eastAsia="Roboto" w:cs="Roboto"/>
          <w:color w:val="E83544"/>
          <w:sz w:val="22"/>
          <w:szCs w:val="22"/>
        </w:rPr>
      </w:pPr>
      <w:r>
        <w:rPr>
          <w:rFonts w:ascii="Roboto" w:hAnsi="Roboto" w:eastAsia="Roboto" w:cs="Roboto"/>
          <w:b/>
          <w:color w:val="E83544"/>
          <w:sz w:val="22"/>
          <w:szCs w:val="22"/>
        </w:rPr>
        <w:t>Sobre ENAC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w:rsidR="0005556E" w:rsidRDefault="00000000" w14:paraId="2061EC4B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w:rsidR="0005556E" w:rsidRDefault="0005556E" w14:paraId="2061EC4C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w:rsidR="0005556E" w:rsidRDefault="00000000" w14:paraId="2061EC4D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w:rsidR="0005556E" w:rsidRDefault="0005556E" w14:paraId="2061EC4E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w:rsidR="0005556E" w:rsidRDefault="00000000" w14:paraId="2061EC4F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w:rsidR="0005556E" w:rsidRDefault="0005556E" w14:paraId="2061EC50" w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w:rsidR="0005556E" w:rsidRDefault="00000000" w14:paraId="2061EC51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  <w:hyperlink r:id="rId12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www.enac.es</w:t>
        </w:r>
      </w:hyperlink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w:rsidR="0005556E" w:rsidRDefault="0005556E" w14:paraId="2061EC52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05556E" w:rsidRDefault="00000000" w14:paraId="2061EC53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distT="114300" distB="114300" distL="114300" distR="114300" wp14:anchorId="2061EC59" wp14:editId="2061EC5A">
            <wp:extent cx="297039" cy="297039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39" cy="29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distT="0" distB="0" distL="0" distR="0" wp14:anchorId="2061EC5B" wp14:editId="2061EC5C">
            <wp:extent cx="304800" cy="304800"/>
            <wp:effectExtent l="0" t="0" r="0" b="0"/>
            <wp:docPr id="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556E" w:rsidRDefault="0005556E" w14:paraId="2061EC54" w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05556E" w:rsidRDefault="0005556E" w14:paraId="2061EC55" w14:textId="77777777">
      <w:pP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w:rsidR="0005556E" w:rsidRDefault="00000000" w14:paraId="2061EC56" w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Para más información sobre la nota de prensa, resolver dudas o gestionar entrevistas</w:t>
      </w:r>
    </w:p>
    <w:p w:rsidR="0005556E" w:rsidRDefault="00000000" w14:paraId="2061EC57" w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Eva Martín</w:t>
      </w:r>
    </w:p>
    <w:p w:rsidR="0005556E" w:rsidRDefault="00000000" w14:paraId="2061EC58" w14:textId="77777777">
      <w:pPr>
        <w:jc w:val="both"/>
        <w:rPr>
          <w:rFonts w:ascii="Calibri" w:hAnsi="Calibri" w:eastAsia="Calibri" w:cs="Calibri"/>
          <w:highlight w:val="white"/>
        </w:rPr>
      </w:pPr>
      <w:r>
        <w:rPr>
          <w:rFonts w:ascii="Roboto" w:hAnsi="Roboto" w:eastAsia="Roboto" w:cs="Roboto"/>
          <w:sz w:val="22"/>
          <w:szCs w:val="22"/>
        </w:rPr>
        <w:t xml:space="preserve">Tfno. 628 17 49 01 / 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  <w:hyperlink r:id="rId15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evamc@varenga.es</w:t>
        </w:r>
      </w:hyperlink>
    </w:p>
    <w:sectPr w:rsidR="0005556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114F9" w:rsidRDefault="003114F9" w14:paraId="5D587B6F" w14:textId="77777777">
      <w:r>
        <w:separator/>
      </w:r>
    </w:p>
  </w:endnote>
  <w:endnote w:type="continuationSeparator" w:id="0">
    <w:p w:rsidR="003114F9" w:rsidRDefault="003114F9" w14:paraId="3819B4B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20393F04-1B2F-436A-8B9C-2710DCF83D4C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47A47E2-1073-40C7-BB73-4FBF287358E9}" r:id="rId2"/>
    <w:embedItalic w:fontKey="{744AC67E-28C4-4831-85AD-A05C81E3FD4C}" r:id="rId3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F63D081-A06C-4188-B3C0-713EF321B38B}" r:id="rId4"/>
    <w:embedBold w:fontKey="{62AEFCED-03A7-4683-A64C-B67971363561}" r:id="rId5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3B99044-FA13-42A7-8549-33091463A8D1}" r:id="rId6"/>
    <w:embedBold w:fontKey="{CCCA6108-A366-4CC2-ACAE-8D489A83F1FA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E444BE3-9E1F-40C7-97ED-AC033CAAC45E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5556E" w:rsidRDefault="0005556E" w14:paraId="2061EC61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5556E" w:rsidRDefault="00000000" w14:paraId="2061EC62" w14:textId="1293CA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157B9">
      <w:rPr>
        <w:noProof/>
        <w:color w:val="000000"/>
      </w:rPr>
      <w:t>1</w:t>
    </w:r>
    <w:r>
      <w:rPr>
        <w:color w:val="000000"/>
      </w:rPr>
      <w:fldChar w:fldCharType="end"/>
    </w:r>
  </w:p>
  <w:p w:rsidR="0005556E" w:rsidRDefault="0005556E" w14:paraId="2061EC63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5556E" w:rsidRDefault="0005556E" w14:paraId="2061EC65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114F9" w:rsidRDefault="003114F9" w14:paraId="4EBE8E3D" w14:textId="77777777">
      <w:r>
        <w:separator/>
      </w:r>
    </w:p>
  </w:footnote>
  <w:footnote w:type="continuationSeparator" w:id="0">
    <w:p w:rsidR="003114F9" w:rsidRDefault="003114F9" w14:paraId="2ADB2E0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5556E" w:rsidRDefault="0005556E" w14:paraId="2061EC5D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5556E" w:rsidRDefault="00000000" w14:paraId="2061EC5E" w14:textId="77777777">
    <w:pPr>
      <w:ind w:left="-120"/>
      <w:jc w:val="both"/>
      <w:rPr>
        <w:rFonts w:ascii="Calibri" w:hAnsi="Calibri" w:eastAsia="Calibri" w:cs="Calibri"/>
        <w:b/>
        <w:sz w:val="40"/>
        <w:szCs w:val="4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061EC66" wp14:editId="2061EC67">
          <wp:simplePos x="0" y="0"/>
          <wp:positionH relativeFrom="column">
            <wp:posOffset>4114800</wp:posOffset>
          </wp:positionH>
          <wp:positionV relativeFrom="paragraph">
            <wp:posOffset>-304774</wp:posOffset>
          </wp:positionV>
          <wp:extent cx="1547842" cy="997267"/>
          <wp:effectExtent l="0" t="0" r="0" b="0"/>
          <wp:wrapSquare wrapText="bothSides" distT="114300" distB="114300" distL="114300" distR="114300"/>
          <wp:docPr id="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5556E" w:rsidRDefault="00000000" w14:paraId="2061EC5F" w14:textId="77777777">
    <w:pPr>
      <w:ind w:left="-120"/>
      <w:jc w:val="both"/>
      <w:rPr>
        <w:rFonts w:ascii="Roboto" w:hAnsi="Roboto" w:eastAsia="Roboto" w:cs="Roboto"/>
        <w:sz w:val="22"/>
        <w:szCs w:val="22"/>
      </w:rPr>
    </w:pPr>
    <w:r>
      <w:rPr>
        <w:rFonts w:ascii="Roboto" w:hAnsi="Roboto" w:eastAsia="Roboto" w:cs="Roboto"/>
        <w:b/>
        <w:sz w:val="40"/>
        <w:szCs w:val="40"/>
      </w:rPr>
      <w:t>NOTA DE PRENSA</w:t>
    </w:r>
    <w:r>
      <w:rPr>
        <w:rFonts w:ascii="Roboto" w:hAnsi="Roboto" w:eastAsia="Roboto" w:cs="Roboto"/>
        <w:sz w:val="22"/>
        <w:szCs w:val="22"/>
      </w:rPr>
      <w:t xml:space="preserve"> </w:t>
    </w:r>
  </w:p>
  <w:p w:rsidR="0005556E" w:rsidRDefault="0005556E" w14:paraId="2061EC60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5556E" w:rsidRDefault="0005556E" w14:paraId="2061EC64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37Y1Jnlx" int2:invalidationBookmarkName="" int2:hashCode="RLWIFNnNl1e0U2" int2:id="L7RINKq5">
      <int2:state int2:type="gram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AE5647"/>
    <w:multiLevelType w:val="multilevel"/>
    <w:tmpl w:val="6AD87808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9632593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9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56E"/>
    <w:rsid w:val="00000000"/>
    <w:rsid w:val="0005556E"/>
    <w:rsid w:val="0010612C"/>
    <w:rsid w:val="003114F9"/>
    <w:rsid w:val="009157B9"/>
    <w:rsid w:val="5C8A3A1E"/>
    <w:rsid w:val="6562A5C0"/>
    <w:rsid w:val="6E0E020F"/>
    <w:rsid w:val="79329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1EC36"/>
  <w15:docId w15:val="{93B053A4-3D96-4EFB-87AD-10AD94549E7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8" w:customStyle="1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Hyperlink">
    <w:uiPriority w:val="99"/>
    <w:name w:val="Hyperlink"/>
    <w:basedOn w:val="Fuentedeprrafopredeter"/>
    <w:unhideWhenUsed/>
    <w:rsid w:val="6562A5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png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oter" Target="footer3.xml" Id="rId21" /><Relationship Type="http://schemas.openxmlformats.org/officeDocument/2006/relationships/settings" Target="settings.xml" Id="rId7" /><Relationship Type="http://schemas.openxmlformats.org/officeDocument/2006/relationships/hyperlink" Target="http://www.enac.es" TargetMode="External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header" Target="head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yperlink" Target="mailto:evamc@varenga.es" TargetMode="External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footer" Target="foot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fontTable" Target="fontTable.xml" Id="rId22" /><Relationship Type="http://schemas.openxmlformats.org/officeDocument/2006/relationships/hyperlink" Target="https://www.enac.es/" TargetMode="External" Id="R3a0c42faa8b54934" /><Relationship Type="http://schemas.microsoft.com/office/2020/10/relationships/intelligence" Target="intelligence2.xml" Id="R8251d3ff8883480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oq7wv8BJ1V3mfLPfsPIkocABJg==">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8266AE-202D-47BF-83F7-7E3348F615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791C6A-584E-499D-8F87-467799D9AFB0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44C873E-B92A-4BF0-993D-B56356BD09A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Eva Martín</lastModifiedBy>
  <revision>3</revision>
  <dcterms:created xsi:type="dcterms:W3CDTF">2025-06-10T06:19:00.0000000Z</dcterms:created>
  <dcterms:modified xsi:type="dcterms:W3CDTF">2025-06-10T08:14:12.9802447Z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0x0101009152DE15686E4843A3780C010A78B13A</vt:lpwstr>
  </property>
</Properties>
</file>