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06AA5" w:rsidRDefault="00E06AA5" w14:paraId="672A6659" w14:textId="77777777">
      <w:pPr>
        <w:jc w:val="both"/>
        <w:rPr>
          <w:rFonts w:ascii="Roboto" w:hAnsi="Roboto" w:eastAsia="Roboto" w:cs="Roboto"/>
          <w:b/>
          <w:sz w:val="32"/>
          <w:szCs w:val="32"/>
        </w:rPr>
      </w:pPr>
    </w:p>
    <w:p w:rsidR="00E06AA5" w:rsidRDefault="00E06AA5" w14:paraId="0A37501D" w14:textId="77777777">
      <w:pPr>
        <w:jc w:val="center"/>
        <w:rPr>
          <w:rFonts w:ascii="Roboto" w:hAnsi="Roboto" w:eastAsia="Roboto" w:cs="Roboto"/>
          <w:sz w:val="22"/>
          <w:szCs w:val="22"/>
          <w:u w:val="single"/>
        </w:rPr>
      </w:pPr>
      <w:bookmarkStart w:name="_heading=h.cppjmm92o9zh" w:colFirst="0" w:colLast="0" w:id="0"/>
      <w:bookmarkEnd w:id="0"/>
    </w:p>
    <w:p w:rsidR="00E06AA5" w:rsidRDefault="00E84655" w14:paraId="16CC8BF8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Roboto" w:hAnsi="Roboto" w:eastAsia="Roboto" w:cs="Roboto"/>
          <w:sz w:val="32"/>
          <w:szCs w:val="32"/>
          <w:highlight w:val="white"/>
        </w:rPr>
      </w:pPr>
      <w:r>
        <w:rPr>
          <w:rFonts w:ascii="Roboto" w:hAnsi="Roboto" w:eastAsia="Roboto" w:cs="Roboto"/>
          <w:b/>
          <w:sz w:val="32"/>
          <w:szCs w:val="32"/>
          <w:highlight w:val="white"/>
        </w:rPr>
        <w:t xml:space="preserve">El nuevo marco regulatorio para las Entidades Colaboradoras de la Administración Hidráulica vuelve a confiar en la acreditación como mecanismo de control </w:t>
      </w:r>
    </w:p>
    <w:p w:rsidR="00E06AA5" w:rsidRDefault="00E84655" w14:paraId="29D6B04F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sz w:val="20"/>
          <w:szCs w:val="20"/>
          <w:highlight w:val="white"/>
        </w:rPr>
      </w:pPr>
      <w:r>
        <w:rPr>
          <w:rFonts w:ascii="Roboto" w:hAnsi="Roboto" w:eastAsia="Roboto" w:cs="Roboto"/>
          <w:sz w:val="20"/>
          <w:szCs w:val="20"/>
          <w:highlight w:val="white"/>
        </w:rPr>
        <w:t xml:space="preserve"> </w:t>
      </w:r>
    </w:p>
    <w:p w:rsidR="00E06AA5" w:rsidRDefault="00E84655" w14:paraId="3D2F158C" w14:textId="77777777">
      <w:pPr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sz w:val="20"/>
          <w:szCs w:val="20"/>
          <w:highlight w:val="white"/>
        </w:rPr>
      </w:pPr>
      <w:r>
        <w:rPr>
          <w:rFonts w:ascii="Roboto" w:hAnsi="Roboto" w:eastAsia="Roboto" w:cs="Roboto"/>
          <w:b/>
          <w:sz w:val="22"/>
          <w:szCs w:val="22"/>
          <w:highlight w:val="white"/>
        </w:rPr>
        <w:t>La nueva Orden TED/739/2025 amplía las responsabilidades de las ECAH y establece requisitos de acreditación más detallados y rigurosos, buscando asegurar una mayor calidad y fiabilidad en las actividades de aprovechamiento y la protección del Dominio Público Hidráulico</w:t>
      </w:r>
    </w:p>
    <w:p w:rsidR="00E06AA5" w:rsidRDefault="00E06AA5" w14:paraId="5DAB6C7B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ind w:left="720"/>
        <w:jc w:val="both"/>
        <w:rPr>
          <w:rFonts w:ascii="Roboto" w:hAnsi="Roboto" w:eastAsia="Roboto" w:cs="Roboto"/>
          <w:sz w:val="20"/>
          <w:szCs w:val="20"/>
          <w:highlight w:val="white"/>
        </w:rPr>
      </w:pPr>
    </w:p>
    <w:p w:rsidR="00E84655" w:rsidP="1A115623" w:rsidRDefault="00E84655" w14:paraId="4DBEA985" w14:textId="0C4BC01C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jc w:val="both"/>
        <w:rPr>
          <w:rFonts w:ascii="Roboto" w:hAnsi="Roboto" w:eastAsia="Roboto" w:cs="Roboto"/>
          <w:sz w:val="22"/>
          <w:szCs w:val="22"/>
          <w:highlight w:val="white"/>
          <w:lang w:val="es-ES"/>
        </w:rPr>
      </w:pPr>
      <w:r w:rsidRPr="1A115623" w:rsidR="00E84655">
        <w:rPr>
          <w:rFonts w:ascii="Roboto" w:hAnsi="Roboto" w:eastAsia="Roboto" w:cs="Roboto"/>
          <w:sz w:val="22"/>
          <w:szCs w:val="22"/>
          <w:highlight w:val="white"/>
          <w:lang w:val="es-ES"/>
        </w:rPr>
        <w:t xml:space="preserve">Madrid, 10 de septiembre de 2025 - </w:t>
      </w:r>
      <w:sdt>
        <w:sdtPr>
          <w:id w:val="116355361"/>
          <w:tag w:val="goog_rdk_0"/>
          <w:placeholder>
            <w:docPart w:val="DefaultPlaceholder_1081868574"/>
          </w:placeholder>
        </w:sdtPr>
        <w:sdtContent>
          <w:r w:rsidRPr="1A115623" w:rsidR="37B65CDD">
            <w:rPr>
              <w:rFonts w:ascii="Roboto" w:hAnsi="Roboto" w:eastAsia="Roboto" w:cs="Roboto"/>
              <w:color w:val="000000" w:themeColor="text1" w:themeTint="FF" w:themeShade="FF"/>
              <w:sz w:val="22"/>
              <w:szCs w:val="22"/>
              <w:lang w:val="es-ES"/>
            </w:rPr>
            <w:t xml:space="preserve">Recientemente, se ha publicado la Orden </w:t>
          </w:r>
          <w:r w:rsidRPr="1A115623" w:rsidR="43F92624">
            <w:rPr>
              <w:rFonts w:ascii="Roboto" w:hAnsi="Roboto" w:eastAsia="Roboto" w:cs="Roboto"/>
              <w:color w:val="000000" w:themeColor="text1" w:themeTint="FF" w:themeShade="FF"/>
              <w:sz w:val="22"/>
              <w:szCs w:val="22"/>
              <w:lang w:val="es-ES"/>
            </w:rPr>
            <w:t>T</w:t>
          </w:r>
          <w:r w:rsidRPr="1A115623" w:rsidR="37B65CDD">
            <w:rPr>
              <w:rFonts w:ascii="Roboto" w:hAnsi="Roboto" w:eastAsia="Roboto" w:cs="Roboto"/>
              <w:color w:val="000000" w:themeColor="text1" w:themeTint="FF" w:themeShade="FF"/>
              <w:sz w:val="22"/>
              <w:szCs w:val="22"/>
              <w:lang w:val="es-ES"/>
            </w:rPr>
            <w:t xml:space="preserve">ED/739/2025 que actualiza y amplía el marco regulatorio para las </w:t>
          </w:r>
          <w:r w:rsidRPr="1A115623" w:rsidR="37B65CDD">
            <w:rPr>
              <w:rFonts w:ascii="Roboto" w:hAnsi="Roboto" w:eastAsia="Roboto" w:cs="Roboto"/>
              <w:b w:val="1"/>
              <w:bCs w:val="1"/>
              <w:color w:val="000000" w:themeColor="text1" w:themeTint="FF" w:themeShade="FF"/>
              <w:sz w:val="22"/>
              <w:szCs w:val="22"/>
              <w:lang w:val="es-ES"/>
            </w:rPr>
            <w:t>Entidades Colaboradoras de la Administración Hidráulica (ECAH)</w:t>
          </w:r>
          <w:r w:rsidRPr="1A115623" w:rsidR="37B65CDD">
            <w:rPr>
              <w:rFonts w:ascii="Roboto" w:hAnsi="Roboto" w:eastAsia="Roboto" w:cs="Roboto"/>
              <w:color w:val="000000" w:themeColor="text1" w:themeTint="FF" w:themeShade="FF"/>
              <w:sz w:val="22"/>
              <w:szCs w:val="22"/>
              <w:lang w:val="es-ES"/>
            </w:rPr>
            <w:t xml:space="preserve"> en materia de aprovechamientos y protección de las aguas del dominio público hidráulico en España, estableciendo </w:t>
          </w:r>
          <w:r w:rsidRPr="1A115623" w:rsidR="37B65CDD">
            <w:rPr>
              <w:rFonts w:ascii="Roboto" w:hAnsi="Roboto" w:eastAsia="Roboto" w:cs="Roboto"/>
              <w:b w:val="1"/>
              <w:bCs w:val="1"/>
              <w:color w:val="000000" w:themeColor="text1" w:themeTint="FF" w:themeShade="FF"/>
              <w:sz w:val="22"/>
              <w:szCs w:val="22"/>
              <w:lang w:val="es-ES"/>
            </w:rPr>
            <w:t>un paso significativo hacia una gestión del agua más eficiente y sostenible en nuestro país y confiando, una vez más, en la acreditación como mecanismo de control.</w:t>
          </w:r>
          <w:r w:rsidRPr="1A115623" w:rsidR="37B65CDD">
            <w:rPr>
              <w:rFonts w:ascii="Roboto" w:hAnsi="Roboto" w:eastAsia="Roboto" w:cs="Roboto"/>
              <w:color w:val="000000" w:themeColor="text1" w:themeTint="FF" w:themeShade="FF"/>
              <w:sz w:val="22"/>
              <w:szCs w:val="22"/>
              <w:lang w:val="es-ES"/>
            </w:rPr>
            <w:t xml:space="preserve"> Al ampliar las responsabilidades de las ECAH y establecer requisitos de acreditación más detallados y rigurosos, se busca asegurar una mayor calidad y fiabilidad en las actividades de aprovechamiento y la protección del Dominio Público Hidráulico.  </w:t>
          </w:r>
        </w:sdtContent>
      </w:sdt>
    </w:p>
    <w:p w:rsidR="00E06AA5" w:rsidRDefault="00E06AA5" w14:paraId="02EB378F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sz w:val="22"/>
          <w:szCs w:val="22"/>
          <w:highlight w:val="white"/>
        </w:rPr>
      </w:pPr>
    </w:p>
    <w:p w:rsidR="00E06AA5" w:rsidP="1D45F7F3" w:rsidRDefault="00E84655" w14:paraId="67590B3C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after="160"/>
        <w:jc w:val="both"/>
        <w:rPr>
          <w:rFonts w:ascii="Roboto" w:hAnsi="Roboto" w:eastAsia="Roboto" w:cs="Roboto"/>
          <w:sz w:val="22"/>
          <w:szCs w:val="22"/>
          <w:highlight w:val="white"/>
        </w:rPr>
      </w:pPr>
      <w:r w:rsidRPr="1D45F7F3">
        <w:rPr>
          <w:rFonts w:ascii="Roboto" w:hAnsi="Roboto" w:eastAsia="Roboto" w:cs="Roboto"/>
          <w:sz w:val="22"/>
          <w:szCs w:val="22"/>
          <w:highlight w:val="white"/>
        </w:rPr>
        <w:t xml:space="preserve">La Orden establece una serie de </w:t>
      </w:r>
      <w:r w:rsidRPr="1D45F7F3">
        <w:rPr>
          <w:rFonts w:ascii="Roboto" w:hAnsi="Roboto" w:eastAsia="Roboto" w:cs="Roboto"/>
          <w:b/>
          <w:bCs/>
          <w:sz w:val="22"/>
          <w:szCs w:val="22"/>
          <w:highlight w:val="white"/>
        </w:rPr>
        <w:t>requisitos administrativos y técnicos que deben cumplir los laboratorios de ensayo y las entidades de inspección que quieran obtener y mantener el título de ECAH, entre los que destaca contar con una acreditación</w:t>
      </w:r>
      <w:r w:rsidRPr="1D45F7F3">
        <w:rPr>
          <w:rFonts w:ascii="Roboto" w:hAnsi="Roboto" w:eastAsia="Roboto" w:cs="Roboto"/>
          <w:sz w:val="22"/>
          <w:szCs w:val="22"/>
          <w:highlight w:val="white"/>
        </w:rPr>
        <w:t xml:space="preserve"> emitida por un organismo nacional de acreditación perteneciente a algún Estado miembro de la Unión Europea, conforme al Reglamento (CE) n.º 765/2008, </w:t>
      </w:r>
      <w:sdt>
        <w:sdtPr>
          <w:tag w:val="goog_rdk_8"/>
          <w:id w:val="-194169000"/>
        </w:sdtPr>
        <w:sdtContent>
          <w:r w:rsidRPr="1D45F7F3">
            <w:rPr>
              <w:rFonts w:ascii="Roboto" w:hAnsi="Roboto" w:eastAsia="Roboto" w:cs="Roboto"/>
              <w:sz w:val="22"/>
              <w:szCs w:val="22"/>
              <w:highlight w:val="white"/>
            </w:rPr>
            <w:t xml:space="preserve">como es el caso de ENAC, la </w:t>
          </w:r>
        </w:sdtContent>
      </w:sdt>
      <w:sdt>
        <w:sdtPr>
          <w:tag w:val="goog_rdk_9"/>
          <w:id w:val="1743531271"/>
        </w:sdtPr>
        <w:sdtContent>
          <w:hyperlink r:id="rId11">
            <w:r w:rsidRPr="1D45F7F3">
              <w:rPr>
                <w:rFonts w:ascii="Roboto" w:hAnsi="Roboto" w:eastAsia="Roboto" w:cs="Roboto"/>
                <w:color w:val="1155CC"/>
                <w:sz w:val="22"/>
                <w:szCs w:val="22"/>
                <w:highlight w:val="white"/>
                <w:u w:val="single"/>
              </w:rPr>
              <w:t>Entidad Nacional de Acreditación</w:t>
            </w:r>
          </w:hyperlink>
        </w:sdtContent>
      </w:sdt>
      <w:sdt>
        <w:sdtPr>
          <w:tag w:val="goog_rdk_10"/>
          <w:id w:val="-1917740337"/>
        </w:sdtPr>
        <w:sdtContent>
          <w:r w:rsidRPr="1D45F7F3">
            <w:rPr>
              <w:rFonts w:ascii="Roboto" w:hAnsi="Roboto" w:eastAsia="Roboto" w:cs="Roboto"/>
              <w:sz w:val="22"/>
              <w:szCs w:val="22"/>
              <w:highlight w:val="white"/>
            </w:rPr>
            <w:t xml:space="preserve"> en España. </w:t>
          </w:r>
        </w:sdtContent>
      </w:sdt>
    </w:p>
    <w:p w:rsidR="00E06AA5" w:rsidP="0D526A82" w:rsidRDefault="00E84655" w14:paraId="6CCD6BB0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after="160"/>
        <w:jc w:val="both"/>
        <w:rPr>
          <w:rFonts w:ascii="Roboto" w:hAnsi="Roboto" w:eastAsia="Roboto" w:cs="Roboto"/>
          <w:sz w:val="22"/>
          <w:szCs w:val="22"/>
          <w:highlight w:val="white"/>
          <w:lang w:val="es-ES"/>
        </w:rPr>
      </w:pPr>
      <w:r w:rsidRPr="0D526A82">
        <w:rPr>
          <w:rFonts w:ascii="Roboto" w:hAnsi="Roboto" w:eastAsia="Roboto" w:cs="Roboto"/>
          <w:sz w:val="22"/>
          <w:szCs w:val="22"/>
          <w:highlight w:val="white"/>
          <w:lang w:val="es-ES"/>
        </w:rPr>
        <w:t xml:space="preserve">Esta acreditación servirá de </w:t>
      </w:r>
      <w:r w:rsidRPr="0D526A82">
        <w:rPr>
          <w:rFonts w:ascii="Roboto" w:hAnsi="Roboto" w:eastAsia="Roboto" w:cs="Roboto"/>
          <w:b/>
          <w:bCs/>
          <w:sz w:val="22"/>
          <w:szCs w:val="22"/>
          <w:highlight w:val="white"/>
          <w:lang w:val="es-ES"/>
        </w:rPr>
        <w:t>demostración del cumplimiento con las normas pertinentes según las actividades requeridas</w:t>
      </w:r>
      <w:r w:rsidRPr="0D526A82">
        <w:rPr>
          <w:rFonts w:ascii="Roboto" w:hAnsi="Roboto" w:eastAsia="Roboto" w:cs="Roboto"/>
          <w:sz w:val="22"/>
          <w:szCs w:val="22"/>
          <w:highlight w:val="white"/>
          <w:lang w:val="es-ES"/>
        </w:rPr>
        <w:t>. En concreto, los laboratorios de ensayo que quieran obtener el título de ECAH deberán disponer de una acreditación según los requisitos de la norma UNE-EN ISO/IEC 17025 para llevar a cabo los muestreos, ensayos químicos, biológicos e hidromorfológicos que solicite la administración hidráulica.  De igual manera, en el caso de las entidades de inspección, éstas deberán estar acreditadas según los requisitos de la norma UNE-EN ISO/IEC 17020, para realizar el control de vertidos y utilización de aguas regeneradas, la evaluación del cumplimiento de objetivos de calidad de las aguas, el control de la hidrogeología y contaminación de las aguas subterráneas, y la verificación de los sistemas de control volumétrico en captaciones y retornos.</w:t>
      </w:r>
    </w:p>
    <w:p w:rsidR="00E06AA5" w:rsidP="1D45F7F3" w:rsidRDefault="00E84655" w14:paraId="7D34AEAE" w14:textId="2C340BCF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jc w:val="both"/>
      </w:pPr>
      <w:r w:rsidRPr="1D45F7F3">
        <w:rPr>
          <w:rFonts w:ascii="Roboto" w:hAnsi="Roboto" w:eastAsia="Roboto" w:cs="Roboto"/>
          <w:sz w:val="22"/>
          <w:szCs w:val="22"/>
          <w:highlight w:val="white"/>
          <w:lang w:val="es-ES"/>
        </w:rPr>
        <w:t>En la actualidad, ENAC está en disposición de responder a las demandas de solicitudes de acreditación derivadas de la Orden TED/739/2025 sobre gestión y protección de aguas.</w:t>
      </w:r>
      <w:sdt>
        <w:sdtPr>
          <w:tag w:val="goog_rdk_11"/>
          <w:id w:val="952299266"/>
          <w:showingPlcHdr/>
        </w:sdtPr>
        <w:sdtContent>
          <w:r w:rsidR="7157EA65">
            <w:t xml:space="preserve">     </w:t>
          </w:r>
        </w:sdtContent>
      </w:sdt>
    </w:p>
    <w:p w:rsidR="00E06AA5" w:rsidRDefault="00E06AA5" w14:paraId="6A05A809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sz w:val="22"/>
          <w:szCs w:val="22"/>
          <w:highlight w:val="white"/>
        </w:rPr>
      </w:pPr>
    </w:p>
    <w:p w:rsidR="00E06AA5" w:rsidRDefault="00E84655" w14:paraId="031558A7" w14:textId="77777777">
      <w:pPr>
        <w:spacing w:after="200" w:line="276" w:lineRule="auto"/>
        <w:jc w:val="both"/>
        <w:rPr>
          <w:rFonts w:ascii="Roboto" w:hAnsi="Roboto" w:eastAsia="Roboto" w:cs="Roboto"/>
          <w:b/>
          <w:color w:val="E83544"/>
          <w:sz w:val="22"/>
          <w:szCs w:val="22"/>
        </w:rPr>
      </w:pPr>
      <w:r>
        <w:rPr>
          <w:rFonts w:ascii="Roboto" w:hAnsi="Roboto" w:eastAsia="Roboto" w:cs="Roboto"/>
          <w:b/>
          <w:color w:val="E83544"/>
          <w:sz w:val="22"/>
          <w:szCs w:val="22"/>
        </w:rPr>
        <w:t>Sobre ENAC</w:t>
      </w:r>
    </w:p>
    <w:p w:rsidR="00E06AA5" w:rsidRDefault="00E84655" w14:paraId="3DBFD2AC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w:rsidR="00E06AA5" w:rsidRDefault="00E84655" w14:paraId="443F88E9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1F497D"/>
          <w:sz w:val="22"/>
          <w:szCs w:val="22"/>
        </w:rPr>
      </w:pPr>
      <w:r>
        <w:rPr>
          <w:rFonts w:ascii="Roboto" w:hAnsi="Roboto" w:eastAsia="Roboto" w:cs="Roboto"/>
          <w:color w:val="1F497D"/>
          <w:sz w:val="22"/>
          <w:szCs w:val="22"/>
        </w:rPr>
        <w:t> </w:t>
      </w:r>
    </w:p>
    <w:p w:rsidR="00E06AA5" w:rsidRDefault="00E84655" w14:paraId="121F981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w:rsidR="00E06AA5" w:rsidRDefault="00E84655" w14:paraId="32663661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  </w:t>
      </w:r>
    </w:p>
    <w:p w:rsidR="00E06AA5" w:rsidRDefault="00E84655" w14:paraId="54638B6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w:rsidR="00E06AA5" w:rsidRDefault="00E84655" w14:paraId="0A6959E7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 </w:t>
      </w:r>
    </w:p>
    <w:p w:rsidR="00E06AA5" w:rsidRDefault="00E84655" w14:paraId="72ADE443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2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w:rsidR="00E06AA5" w:rsidRDefault="00E06AA5" w14:paraId="44EAFD9C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E06AA5" w:rsidRDefault="00E84655" w14:paraId="54F9AE05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distT="0" distB="0" distL="0" distR="0" wp14:anchorId="7DD574C1" wp14:editId="07777777">
            <wp:extent cx="304800" cy="3048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  <w:sz w:val="22"/>
          <w:szCs w:val="22"/>
        </w:rPr>
        <w:t xml:space="preserve"> 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distT="0" distB="0" distL="0" distR="0" wp14:anchorId="0A36DB7C" wp14:editId="07777777">
            <wp:extent cx="304800" cy="3048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AA5" w:rsidRDefault="00E06AA5" w14:paraId="4B94D5A5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E06AA5" w:rsidRDefault="00E06AA5" w14:paraId="3DEEC669" w14:textId="77777777">
      <w:pP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E06AA5" w:rsidRDefault="00E84655" w14:paraId="70AF4A84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w:rsidR="00E06AA5" w:rsidRDefault="00E84655" w14:paraId="527B165C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w:rsidR="00E06AA5" w:rsidRDefault="00E84655" w14:paraId="0B05E5D0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5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p w:rsidR="00E06AA5" w:rsidRDefault="00E06AA5" w14:paraId="3656B9AB" w14:textId="77777777">
      <w:pPr>
        <w:spacing w:after="200" w:line="276" w:lineRule="auto"/>
        <w:rPr>
          <w:rFonts w:ascii="Roboto" w:hAnsi="Roboto" w:eastAsia="Roboto" w:cs="Roboto"/>
          <w:sz w:val="22"/>
          <w:szCs w:val="22"/>
        </w:rPr>
      </w:pPr>
    </w:p>
    <w:p w:rsidR="00E06AA5" w:rsidRDefault="00E06AA5" w14:paraId="45FB0818" w14:textId="77777777">
      <w:pPr>
        <w:rPr>
          <w:rFonts w:ascii="Calibri" w:hAnsi="Calibri" w:eastAsia="Calibri" w:cs="Calibri"/>
          <w:b/>
          <w:sz w:val="22"/>
          <w:szCs w:val="22"/>
          <w:u w:val="single"/>
        </w:rPr>
      </w:pPr>
    </w:p>
    <w:p w:rsidR="00E06AA5" w:rsidRDefault="00E06AA5" w14:paraId="049F31CB" w14:textId="77777777">
      <w:pPr>
        <w:jc w:val="both"/>
        <w:rPr>
          <w:rFonts w:ascii="Calibri" w:hAnsi="Calibri" w:eastAsia="Calibri" w:cs="Calibri"/>
          <w:b/>
          <w:sz w:val="22"/>
          <w:szCs w:val="22"/>
          <w:u w:val="single"/>
        </w:rPr>
      </w:pPr>
    </w:p>
    <w:p w:rsidR="00E06AA5" w:rsidRDefault="00E06AA5" w14:paraId="5312826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highlight w:val="white"/>
        </w:rPr>
      </w:pPr>
    </w:p>
    <w:sectPr w:rsidR="00E06AA5">
      <w:headerReference w:type="default" r:id="rId16"/>
      <w:footerReference w:type="default" r:id="rId17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84655" w:rsidRDefault="00E84655" w14:paraId="35F90AEB" w14:textId="77777777">
      <w:r>
        <w:separator/>
      </w:r>
    </w:p>
  </w:endnote>
  <w:endnote w:type="continuationSeparator" w:id="0">
    <w:p w:rsidR="00E84655" w:rsidRDefault="00E84655" w14:paraId="4F27655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90BD36DE-7583-49F2-B52B-6F363ADE8475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F64C4F6-29DC-49B4-A96B-AB958AE6901E}" r:id="rId2"/>
    <w:embedItalic w:fontKey="{13E7C5BD-8EE6-4CB6-B07B-8BB5AD38D968}" r:id="rId3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1349EE82-7047-4938-85DE-C34CC73140DF}" r:id="rId4"/>
    <w:embedBold w:fontKey="{DBF11623-3E70-4874-8321-9B68D40F1012}" r:id="rId5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0D0D100-84B5-42BC-A316-8A281037E971}" r:id="rId6"/>
    <w:embedBold w:fontKey="{C5220686-444E-4255-AE57-9D37A1564F9A}" r:id="rId7"/>
  </w:font>
  <w:font w:name="Nunito">
    <w:charset w:val="00"/>
    <w:family w:val="auto"/>
    <w:pitch w:val="variable"/>
    <w:sig w:usb0="A00002FF" w:usb1="5000204B" w:usb2="00000000" w:usb3="00000000" w:csb0="00000197" w:csb1="00000000"/>
    <w:embedRegular w:fontKey="{D60C0682-9507-4754-BF6E-0F7FDA5079B9}" r:id="rId8"/>
    <w:embedBold w:fontKey="{A639AE81-1383-48B5-85DA-058A659A0993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2C733A4-B419-4569-9AB8-C995398BC8CC}" r:id="rId1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6AA5" w:rsidRDefault="00E84655" w14:paraId="133EDD17" w14:textId="2CA150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477">
      <w:rPr>
        <w:noProof/>
        <w:color w:val="000000"/>
      </w:rPr>
      <w:t>1</w:t>
    </w:r>
    <w:r>
      <w:rPr>
        <w:color w:val="000000"/>
      </w:rPr>
      <w:fldChar w:fldCharType="end"/>
    </w:r>
  </w:p>
  <w:p w:rsidR="00E06AA5" w:rsidRDefault="00E06AA5" w14:paraId="62486C05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84655" w:rsidRDefault="00E84655" w14:paraId="03C8E336" w14:textId="77777777">
      <w:r>
        <w:separator/>
      </w:r>
    </w:p>
  </w:footnote>
  <w:footnote w:type="continuationSeparator" w:id="0">
    <w:p w:rsidR="00E84655" w:rsidRDefault="00E84655" w14:paraId="2C734B8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06AA5" w:rsidRDefault="00E84655" w14:paraId="358DE219" w14:textId="77777777">
    <w:pPr>
      <w:ind w:left="-120"/>
      <w:jc w:val="both"/>
      <w:rPr>
        <w:rFonts w:ascii="Calibri" w:hAnsi="Calibri" w:eastAsia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1234C9" wp14:editId="07777777">
          <wp:simplePos x="0" y="0"/>
          <wp:positionH relativeFrom="column">
            <wp:posOffset>4114800</wp:posOffset>
          </wp:positionH>
          <wp:positionV relativeFrom="paragraph">
            <wp:posOffset>-304795</wp:posOffset>
          </wp:positionV>
          <wp:extent cx="1547842" cy="997267"/>
          <wp:effectExtent l="0" t="0" r="0" b="0"/>
          <wp:wrapSquare wrapText="bothSides" distT="114300" distB="114300" distL="114300" distR="114300"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06AA5" w:rsidRDefault="00E84655" w14:paraId="12ECC7C7" w14:textId="77777777">
    <w:pPr>
      <w:ind w:left="-120"/>
      <w:jc w:val="both"/>
      <w:rPr>
        <w:rFonts w:ascii="Nunito" w:hAnsi="Nunito" w:eastAsia="Nunito" w:cs="Nunito"/>
        <w:sz w:val="22"/>
        <w:szCs w:val="22"/>
      </w:rPr>
    </w:pPr>
    <w:r>
      <w:rPr>
        <w:rFonts w:ascii="Nunito" w:hAnsi="Nunito" w:eastAsia="Nunito" w:cs="Nunito"/>
        <w:b/>
        <w:sz w:val="40"/>
        <w:szCs w:val="40"/>
      </w:rPr>
      <w:t>NOTA DE PRENSA</w:t>
    </w:r>
    <w:r>
      <w:rPr>
        <w:rFonts w:ascii="Nunito" w:hAnsi="Nunito" w:eastAsia="Nunito" w:cs="Nunito"/>
        <w:sz w:val="22"/>
        <w:szCs w:val="22"/>
      </w:rPr>
      <w:t xml:space="preserve"> </w:t>
    </w:r>
  </w:p>
  <w:p w:rsidR="00E06AA5" w:rsidRDefault="00E06AA5" w14:paraId="4101652C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66DF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6309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A5"/>
    <w:rsid w:val="001164B4"/>
    <w:rsid w:val="004567E7"/>
    <w:rsid w:val="00482A2A"/>
    <w:rsid w:val="005B2731"/>
    <w:rsid w:val="00600011"/>
    <w:rsid w:val="0067734B"/>
    <w:rsid w:val="0087310C"/>
    <w:rsid w:val="008D322C"/>
    <w:rsid w:val="00973081"/>
    <w:rsid w:val="00D12477"/>
    <w:rsid w:val="00E06AA5"/>
    <w:rsid w:val="00E101FA"/>
    <w:rsid w:val="00E84655"/>
    <w:rsid w:val="00ED3C6E"/>
    <w:rsid w:val="0878A59C"/>
    <w:rsid w:val="0D526A82"/>
    <w:rsid w:val="1A115623"/>
    <w:rsid w:val="1D45F7F3"/>
    <w:rsid w:val="247DBC41"/>
    <w:rsid w:val="335E225C"/>
    <w:rsid w:val="37B65CDD"/>
    <w:rsid w:val="43F92624"/>
    <w:rsid w:val="5B5637D7"/>
    <w:rsid w:val="7157E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2088F"/>
  <w15:docId w15:val="{AAC985C2-896B-4111-A03E-5A8C4827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5B273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5B2731"/>
  </w:style>
  <w:style w:type="paragraph" w:styleId="Footer">
    <w:name w:val="footer"/>
    <w:basedOn w:val="Normal"/>
    <w:link w:val="FooterChar"/>
    <w:uiPriority w:val="99"/>
    <w:semiHidden/>
    <w:unhideWhenUsed/>
    <w:rsid w:val="005B273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5B2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://www.enac.es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enac.es/" TargetMode="External" Id="rId11" /><Relationship Type="http://schemas.openxmlformats.org/officeDocument/2006/relationships/numbering" Target="numbering.xml" Id="rId5" /><Relationship Type="http://schemas.openxmlformats.org/officeDocument/2006/relationships/hyperlink" Target="mailto:evamc@varenga.es" TargetMode="Externa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mzPQdr6ebvWxhnBGUPp289+Qw==">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8285560-029E-4875-BA45-A3522C52AB34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3.xml><?xml version="1.0" encoding="utf-8"?>
<ds:datastoreItem xmlns:ds="http://schemas.openxmlformats.org/officeDocument/2006/customXml" ds:itemID="{45CEED87-5AE2-4DB5-9EC6-A09DDD3890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856ECD-69A5-4AA7-9A7E-A948F6A83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Eva Martín</lastModifiedBy>
  <revision>8</revision>
  <dcterms:created xsi:type="dcterms:W3CDTF">2025-09-10T05:58:00.0000000Z</dcterms:created>
  <dcterms:modified xsi:type="dcterms:W3CDTF">2025-09-10T09:26:58.1603111Z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