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FA1B76" w:rsidRDefault="00FA1B76" w14:paraId="672A6659" w14:textId="77777777">
      <w:pPr>
        <w:jc w:val="center"/>
        <w:rPr>
          <w:rFonts w:ascii="Roboto" w:hAnsi="Roboto" w:eastAsia="Roboto" w:cs="Roboto"/>
          <w:b/>
          <w:bCs/>
          <w:sz w:val="38"/>
          <w:szCs w:val="38"/>
        </w:rPr>
      </w:pPr>
    </w:p>
    <w:p w:rsidR="00FA1B76" w:rsidRDefault="00C30D0C" w14:paraId="7C8566B4" w14:textId="77777777">
      <w:pPr>
        <w:jc w:val="center"/>
        <w:rPr>
          <w:rFonts w:ascii="Roboto" w:hAnsi="Roboto" w:eastAsia="Roboto" w:cs="Roboto"/>
          <w:b/>
          <w:bCs/>
          <w:sz w:val="34"/>
          <w:szCs w:val="34"/>
        </w:rPr>
      </w:pPr>
      <w:r>
        <w:rPr>
          <w:rFonts w:ascii="Roboto" w:hAnsi="Roboto" w:eastAsia="Roboto" w:cs="Roboto"/>
          <w:b/>
          <w:bCs/>
          <w:sz w:val="34"/>
          <w:szCs w:val="34"/>
        </w:rPr>
        <w:t>Primera entidad acreditada por ENAC para la inspección ambiental conforme al Decreto 16/2024 de la Junta de Castilla y León</w:t>
      </w:r>
    </w:p>
    <w:p w:rsidR="00FA1B76" w:rsidRDefault="00FA1B76" w14:paraId="0A37501D" w14:textId="77777777"/>
    <w:p w:rsidR="00FA1B76" w:rsidP="278FC18A" w:rsidRDefault="00C30D0C" w14:paraId="321486C7" w14:textId="77777777">
      <w:pPr>
        <w:numPr>
          <w:ilvl w:val="0"/>
          <w:numId w:val="1"/>
        </w:numPr>
        <w:jc w:val="both"/>
        <w:rPr>
          <w:rFonts w:ascii="Roboto" w:hAnsi="Roboto" w:eastAsia="Roboto" w:cs="Roboto"/>
          <w:b/>
          <w:bCs/>
          <w:sz w:val="22"/>
          <w:szCs w:val="22"/>
          <w:lang w:val="es-ES"/>
        </w:rPr>
      </w:pPr>
      <w:r w:rsidRPr="278FC18A">
        <w:rPr>
          <w:rFonts w:ascii="Roboto" w:hAnsi="Roboto" w:eastAsia="Roboto" w:cs="Roboto"/>
          <w:b/>
          <w:bCs/>
          <w:sz w:val="22"/>
          <w:szCs w:val="22"/>
          <w:lang w:val="es-ES"/>
        </w:rPr>
        <w:t>Con la acreditación obtenida por AB-</w:t>
      </w:r>
      <w:proofErr w:type="spellStart"/>
      <w:r w:rsidRPr="278FC18A">
        <w:rPr>
          <w:rFonts w:ascii="Roboto" w:hAnsi="Roboto" w:eastAsia="Roboto" w:cs="Roboto"/>
          <w:b/>
          <w:bCs/>
          <w:sz w:val="22"/>
          <w:szCs w:val="22"/>
          <w:lang w:val="es-ES"/>
        </w:rPr>
        <w:t>Aucatel</w:t>
      </w:r>
      <w:proofErr w:type="spellEnd"/>
      <w:r w:rsidRPr="278FC18A">
        <w:rPr>
          <w:rFonts w:ascii="Roboto" w:hAnsi="Roboto" w:eastAsia="Roboto" w:cs="Roboto"/>
          <w:b/>
          <w:bCs/>
          <w:sz w:val="22"/>
          <w:szCs w:val="22"/>
          <w:lang w:val="es-ES"/>
        </w:rPr>
        <w:t xml:space="preserve"> Inspección y Control las autoridades ambientales de Castilla y León cuentan ya con una entidad de inspección acreditada para desarrollar actuaciones de inspección ambiental en instalaciones sujetas a la normativa de Prevención y Control Integrado de la Contaminación (IPPC) conforme al Decreto 16/2024</w:t>
      </w:r>
    </w:p>
    <w:p w:rsidR="00FA1B76" w:rsidRDefault="00FA1B76" w14:paraId="5DAB6C7B" w14:textId="77777777">
      <w:pPr>
        <w:ind w:left="720"/>
        <w:jc w:val="both"/>
        <w:rPr>
          <w:rFonts w:ascii="Roboto" w:hAnsi="Roboto" w:eastAsia="Roboto" w:cs="Roboto"/>
          <w:b/>
          <w:bCs/>
        </w:rPr>
      </w:pPr>
    </w:p>
    <w:p w:rsidR="5F49823E" w:rsidP="5959B0F6" w:rsidRDefault="5F49823E" w14:paraId="4D3ACADF" w14:textId="5997ACA9">
      <w:pPr>
        <w:spacing w:before="0" w:beforeAutospacing="off" w:after="0" w:afterAutospacing="off"/>
        <w:jc w:val="both"/>
      </w:pPr>
      <w:r w:rsidRPr="5959B0F6" w:rsidR="5F49823E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Madrid, 20 de noviembre de 2025.- La </w:t>
      </w:r>
      <w:hyperlink r:id="Rc83c5d37cf1840cb">
        <w:r w:rsidRPr="5959B0F6" w:rsidR="5F49823E">
          <w:rPr>
            <w:rStyle w:val="Hyperlink"/>
            <w:rFonts w:ascii="Roboto" w:hAnsi="Roboto" w:eastAsia="Roboto" w:cs="Roboto"/>
            <w:b w:val="0"/>
            <w:bCs w:val="0"/>
            <w:i w:val="0"/>
            <w:iCs w:val="0"/>
            <w:strike w:val="0"/>
            <w:dstrike w:val="0"/>
            <w:noProof w:val="0"/>
            <w:color w:val="1155CC"/>
            <w:sz w:val="22"/>
            <w:szCs w:val="22"/>
            <w:u w:val="none"/>
            <w:lang w:val="es-ES"/>
          </w:rPr>
          <w:t>Entidad Nacional de Acreditación</w:t>
        </w:r>
      </w:hyperlink>
      <w:r w:rsidRPr="5959B0F6" w:rsidR="5F49823E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(ENAC) ha otorgado a </w:t>
      </w:r>
      <w:r w:rsidRPr="5959B0F6" w:rsidR="5F49823E">
        <w:rPr>
          <w:rFonts w:ascii="Roboto" w:hAnsi="Roboto" w:eastAsia="Roboto" w:cs="Roboto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AB-Aucatel Inspección y Control la acreditación</w:t>
      </w:r>
      <w:r w:rsidRPr="5959B0F6" w:rsidR="5F49823E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para la inspección ambiental en instalaciones sujetas a la normativa de Prevención y Control Integrado de la Contaminación (IPPC) conforme al Decreto 16/2024, publicado por la Consejería de Medio Ambiente, Vivienda y Ordenación del Territorio de Castilla y León. Con ello, se ha convertido en la </w:t>
      </w:r>
      <w:r w:rsidRPr="5959B0F6" w:rsidR="5F49823E">
        <w:rPr>
          <w:rFonts w:ascii="Roboto" w:hAnsi="Roboto" w:eastAsia="Roboto" w:cs="Roboto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primera entidad acreditada</w:t>
      </w:r>
      <w:r w:rsidRPr="5959B0F6" w:rsidR="5F49823E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para esta actividad, cuyo</w:t>
      </w:r>
      <w:r w:rsidRPr="5959B0F6" w:rsidR="5F49823E">
        <w:rPr>
          <w:rFonts w:ascii="Roboto" w:hAnsi="Roboto" w:eastAsia="Roboto" w:cs="Roboto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alcance hace referencia, en concreto, a la inspección de instalaciones industriales y gestores de residuos y explotaciones ganaderas</w:t>
      </w:r>
      <w:r w:rsidRPr="5959B0F6" w:rsidR="5F49823E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.</w:t>
      </w:r>
    </w:p>
    <w:p w:rsidR="5959B0F6" w:rsidP="5959B0F6" w:rsidRDefault="5959B0F6" w14:paraId="738E3459" w14:textId="13F5ED74">
      <w:pPr>
        <w:jc w:val="both"/>
      </w:pPr>
    </w:p>
    <w:p w:rsidR="00FA1B76" w:rsidRDefault="00C30D0C" w14:paraId="35A5B690" w14:textId="77777777">
      <w:pPr>
        <w:spacing w:after="160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>Este decreto regula el régimen de vigilancia, inspección y control de las actividades e instalaciones potencialmente contaminadoras en la región, además de crear y regular la figura de los Organismos de Control Ambiental Acreditados (OCAA). Asimismo,</w:t>
      </w:r>
      <w:r>
        <w:rPr>
          <w:rFonts w:ascii="Roboto" w:hAnsi="Roboto" w:eastAsia="Roboto" w:cs="Roboto"/>
          <w:b/>
          <w:bCs/>
          <w:sz w:val="22"/>
          <w:szCs w:val="22"/>
        </w:rPr>
        <w:t xml:space="preserve"> para poder operar, estos organismos deben estar inscritos en el Registro de OCAA de Castilla y León, para lo cual, es imprescindible estar acreditado por ENAC</w:t>
      </w:r>
      <w:r>
        <w:rPr>
          <w:rFonts w:ascii="Roboto" w:hAnsi="Roboto" w:eastAsia="Roboto" w:cs="Roboto"/>
          <w:sz w:val="22"/>
          <w:szCs w:val="22"/>
        </w:rPr>
        <w:t xml:space="preserve"> según la norma UNE-EN ISO/IEC 17020, para llevar a cabo estas inspecciones en explotaciones ganaderas (PEC-EG), instalaciones industriales y/o gestores de residuos (PEC-IG) y vertederos con autorización ambiental integrada (PEC-VE), aprobados por la Dirección General de Infraestructuras y Sostenibilidad Ambiental.</w:t>
      </w:r>
    </w:p>
    <w:p w:rsidR="00FA1B76" w:rsidRDefault="00C30D0C" w14:paraId="7BDFA58D" w14:textId="77777777">
      <w:pPr>
        <w:spacing w:after="160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>Con esta primera acreditación, las autoridades ambientales de Castilla y León cuentan ya con una entidad de inspección acreditada para desarrollar actuaciones de inspección ambiental en instalaciones sujetas a la normativa IPPC. Esto refuerza la confianza depositada, una vez más, por la Administración Pública en la acreditación de ENAC como herramienta clave para garantizar la competencia técnica y la fiabilidad de las actuaciones en materia de control ambiental.</w:t>
      </w:r>
    </w:p>
    <w:p w:rsidR="00FA1B76" w:rsidRDefault="00FA1B76" w14:paraId="6A05A809" w14:textId="77777777">
      <w:pPr>
        <w:jc w:val="both"/>
        <w:rPr>
          <w:rFonts w:ascii="Roboto" w:hAnsi="Roboto" w:eastAsia="Roboto" w:cs="Roboto"/>
          <w:sz w:val="22"/>
          <w:szCs w:val="22"/>
        </w:rPr>
      </w:pPr>
    </w:p>
    <w:p w:rsidR="5959B0F6" w:rsidP="5959B0F6" w:rsidRDefault="5959B0F6" w14:paraId="22802F55" w14:textId="0CC3C8E3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 w:themeFill="background1"/>
        <w:spacing w:after="160"/>
        <w:jc w:val="both"/>
        <w:rPr>
          <w:rFonts w:ascii="Roboto" w:hAnsi="Roboto" w:eastAsia="Roboto" w:cs="Roboto"/>
          <w:b w:val="1"/>
          <w:bCs w:val="1"/>
          <w:color w:val="E83544"/>
          <w:sz w:val="22"/>
          <w:szCs w:val="22"/>
        </w:rPr>
      </w:pPr>
    </w:p>
    <w:p w:rsidR="5959B0F6" w:rsidP="5959B0F6" w:rsidRDefault="5959B0F6" w14:paraId="7E1080A8" w14:textId="0DE33D89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 w:themeFill="background1"/>
        <w:spacing w:after="160"/>
        <w:jc w:val="both"/>
        <w:rPr>
          <w:rFonts w:ascii="Roboto" w:hAnsi="Roboto" w:eastAsia="Roboto" w:cs="Roboto"/>
          <w:b w:val="1"/>
          <w:bCs w:val="1"/>
          <w:color w:val="E83544"/>
          <w:sz w:val="22"/>
          <w:szCs w:val="22"/>
        </w:rPr>
      </w:pPr>
    </w:p>
    <w:p w:rsidR="5959B0F6" w:rsidP="5959B0F6" w:rsidRDefault="5959B0F6" w14:paraId="7C007F27" w14:textId="13A4D50B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 w:themeFill="background1"/>
        <w:spacing w:after="160"/>
        <w:jc w:val="both"/>
        <w:rPr>
          <w:rFonts w:ascii="Roboto" w:hAnsi="Roboto" w:eastAsia="Roboto" w:cs="Roboto"/>
          <w:b w:val="1"/>
          <w:bCs w:val="1"/>
          <w:color w:val="E83544"/>
          <w:sz w:val="22"/>
          <w:szCs w:val="22"/>
        </w:rPr>
      </w:pPr>
    </w:p>
    <w:p w:rsidR="5959B0F6" w:rsidP="5959B0F6" w:rsidRDefault="5959B0F6" w14:paraId="21171F22" w14:textId="6ED568AE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 w:themeFill="background1"/>
        <w:spacing w:after="160"/>
        <w:jc w:val="both"/>
        <w:rPr>
          <w:rFonts w:ascii="Roboto" w:hAnsi="Roboto" w:eastAsia="Roboto" w:cs="Roboto"/>
          <w:b w:val="1"/>
          <w:bCs w:val="1"/>
          <w:color w:val="E83544"/>
          <w:sz w:val="22"/>
          <w:szCs w:val="22"/>
        </w:rPr>
      </w:pPr>
    </w:p>
    <w:p w:rsidR="00FA1B76" w:rsidRDefault="00C30D0C" w14:paraId="69A1FD12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after="160"/>
        <w:jc w:val="both"/>
        <w:rPr>
          <w:rFonts w:ascii="Roboto" w:hAnsi="Roboto" w:eastAsia="Roboto" w:cs="Roboto"/>
          <w:color w:val="E83544"/>
          <w:sz w:val="22"/>
          <w:szCs w:val="22"/>
        </w:rPr>
      </w:pPr>
      <w:r>
        <w:rPr>
          <w:rFonts w:ascii="Roboto" w:hAnsi="Roboto" w:eastAsia="Roboto" w:cs="Roboto"/>
          <w:b/>
          <w:bCs/>
          <w:color w:val="E83544"/>
          <w:sz w:val="22"/>
          <w:szCs w:val="22"/>
        </w:rPr>
        <w:t>Sobre ENAC</w:t>
      </w:r>
      <w:r>
        <w:rPr>
          <w:rFonts w:ascii="Roboto" w:hAnsi="Roboto" w:eastAsia="Roboto" w:cs="Roboto"/>
          <w:color w:val="E83544"/>
          <w:sz w:val="22"/>
          <w:szCs w:val="22"/>
        </w:rPr>
        <w:t xml:space="preserve"> </w:t>
      </w:r>
    </w:p>
    <w:p w:rsidR="00FA1B76" w:rsidRDefault="00C30D0C" w14:paraId="3DBFD2AC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 xml:space="preserve">La Entidad Nacional de Acreditación – ENAC – es la entidad designada por el Gobierno para operar en España como el único Organismo Nacional de Acreditación, en aplicación del Reglamento (CE) nº765/2008 del Parlamento Europeo que regula el funcionamiento de la acreditación en Europa. </w:t>
      </w:r>
    </w:p>
    <w:p w:rsidR="00FA1B76" w:rsidRDefault="00FA1B76" w14:paraId="5A39BBE3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</w:p>
    <w:p w:rsidR="00FA1B76" w:rsidRDefault="00C30D0C" w14:paraId="121F981E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 xml:space="preserve">ENAC tiene como misión generar confianza en el mercado y en la sociedad evaluando, a través de un sistema conforme a normas internacionales, la competencia técnica de laboratorios de ensayo o calibración, entidades de inspección, entidades de certificación y verificadores medioambientales que desarrollen su actividad en cualquier sector: industria,  energía, medio ambiente, sanidad, alimentación, investigación, desarrollo e innovación, transportes, telecomunicaciones, turismo, servicios, construcción, etc. Contribuye, así, a la seguridad y el bienestar de las personas, la calidad de los productos y servicios, la protección del medioambiente y, con ello, al aumento de la competitividad de los productos y servicios españoles y a una disminución de los costes para la sociedad debidos a estas actividades.  </w:t>
      </w:r>
    </w:p>
    <w:p w:rsidR="00FA1B76" w:rsidRDefault="00FA1B76" w14:paraId="4B94D5A5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</w:p>
    <w:p w:rsidR="00FA1B76" w:rsidRDefault="00C30D0C" w14:paraId="54638B6E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 xml:space="preserve">La marca ENAC es la manera de distinguir si un certificado o informe está acreditado o no. Aporta confianza en que la organización que lo emite es técnicamente competente para llevar a cabo la tarea que realiza, y lo es tanto en España como en los 120 países en los que la marca de ENAC es reconocida y aceptada gracias a los acuerdos de reconocimiento que ENAC ha suscrito con las entidades de acreditación de esos países. </w:t>
      </w:r>
    </w:p>
    <w:p w:rsidR="00FA1B76" w:rsidRDefault="00FA1B76" w14:paraId="3DEEC669" w14:textId="77777777">
      <w:pPr>
        <w:jc w:val="both"/>
        <w:rPr>
          <w:rFonts w:ascii="Roboto" w:hAnsi="Roboto" w:eastAsia="Roboto" w:cs="Roboto"/>
          <w:sz w:val="22"/>
          <w:szCs w:val="22"/>
        </w:rPr>
      </w:pPr>
    </w:p>
    <w:p w:rsidR="00FA1B76" w:rsidRDefault="00C30D0C" w14:paraId="72ADE443" w14:textId="77777777">
      <w:pPr>
        <w:pBdr>
          <w:bottom w:val="single" w:color="000000" w:sz="12" w:space="1"/>
        </w:pBdr>
        <w:jc w:val="both"/>
        <w:rPr>
          <w:rFonts w:ascii="Roboto" w:hAnsi="Roboto" w:eastAsia="Roboto" w:cs="Roboto"/>
          <w:color w:val="E83544"/>
          <w:sz w:val="22"/>
          <w:szCs w:val="22"/>
        </w:rPr>
      </w:pPr>
      <w:hyperlink r:id="rId15">
        <w:r>
          <w:rPr>
            <w:rFonts w:ascii="Roboto" w:hAnsi="Roboto" w:eastAsia="Roboto" w:cs="Roboto"/>
            <w:color w:val="E83544"/>
            <w:sz w:val="22"/>
            <w:szCs w:val="22"/>
            <w:u w:val="single"/>
          </w:rPr>
          <w:t>www.enac.es</w:t>
        </w:r>
      </w:hyperlink>
      <w:r>
        <w:rPr>
          <w:rFonts w:ascii="Roboto" w:hAnsi="Roboto" w:eastAsia="Roboto" w:cs="Roboto"/>
          <w:color w:val="E83544"/>
          <w:sz w:val="22"/>
          <w:szCs w:val="22"/>
        </w:rPr>
        <w:t xml:space="preserve"> </w:t>
      </w:r>
    </w:p>
    <w:p w:rsidR="00FA1B76" w:rsidRDefault="00FA1B76" w14:paraId="3656B9AB" w14:textId="77777777">
      <w:pPr>
        <w:pBdr>
          <w:bottom w:val="single" w:color="000000" w:sz="12" w:space="1"/>
        </w:pBdr>
        <w:jc w:val="both"/>
        <w:rPr>
          <w:rFonts w:ascii="Roboto" w:hAnsi="Roboto" w:eastAsia="Roboto" w:cs="Roboto"/>
          <w:color w:val="E83544"/>
          <w:sz w:val="22"/>
          <w:szCs w:val="22"/>
        </w:rPr>
      </w:pPr>
    </w:p>
    <w:p w:rsidR="00FA1B76" w:rsidRDefault="00C30D0C" w14:paraId="0DFAE634" w14:textId="77777777">
      <w:pPr>
        <w:pBdr>
          <w:bottom w:val="single" w:color="000000" w:sz="12" w:space="1"/>
        </w:pBdr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color w:val="0000FF"/>
          <w:sz w:val="22"/>
          <w:szCs w:val="22"/>
        </w:rPr>
        <w:t xml:space="preserve"> </w:t>
      </w:r>
      <w:r>
        <w:rPr>
          <w:rFonts w:ascii="Roboto" w:hAnsi="Roboto" w:eastAsia="Roboto" w:cs="Roboto"/>
          <w:noProof/>
          <w:color w:val="0000FF"/>
          <w:sz w:val="22"/>
          <w:szCs w:val="22"/>
        </w:rPr>
        <w:drawing>
          <wp:inline distT="114300" distB="114300" distL="114300" distR="114300" wp14:anchorId="0E3F9C19" wp14:editId="07777777">
            <wp:extent cx="297039" cy="297039"/>
            <wp:effectExtent l="0" t="0" r="0" b="0"/>
            <wp:docPr id="3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039" cy="2970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hAnsi="Roboto" w:eastAsia="Roboto" w:cs="Roboto"/>
          <w:color w:val="0000FF"/>
          <w:sz w:val="22"/>
          <w:szCs w:val="22"/>
        </w:rPr>
        <w:t xml:space="preserve"> </w:t>
      </w:r>
      <w:r>
        <w:rPr>
          <w:rFonts w:ascii="Roboto" w:hAnsi="Roboto" w:eastAsia="Roboto" w:cs="Roboto"/>
          <w:noProof/>
          <w:color w:val="0000FF"/>
          <w:sz w:val="22"/>
          <w:szCs w:val="22"/>
        </w:rPr>
        <w:drawing>
          <wp:inline distT="0" distB="0" distL="0" distR="0" wp14:anchorId="116161D4" wp14:editId="07777777">
            <wp:extent cx="304800" cy="304800"/>
            <wp:effectExtent l="0" t="0" r="0" b="0"/>
            <wp:docPr id="3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1B76" w:rsidRDefault="00FA1B76" w14:paraId="45FB0818" w14:textId="77777777">
      <w:pPr>
        <w:pBdr>
          <w:bottom w:val="single" w:color="000000" w:sz="12" w:space="1"/>
        </w:pBdr>
        <w:jc w:val="both"/>
        <w:rPr>
          <w:rFonts w:ascii="Roboto" w:hAnsi="Roboto" w:eastAsia="Roboto" w:cs="Roboto"/>
          <w:color w:val="E83544"/>
          <w:sz w:val="22"/>
          <w:szCs w:val="22"/>
        </w:rPr>
      </w:pPr>
    </w:p>
    <w:p w:rsidR="00FA1B76" w:rsidRDefault="00FA1B76" w14:paraId="049F31CB" w14:textId="77777777">
      <w:pPr>
        <w:jc w:val="both"/>
        <w:rPr>
          <w:rFonts w:ascii="Roboto" w:hAnsi="Roboto" w:eastAsia="Roboto" w:cs="Roboto"/>
          <w:color w:val="E83544"/>
          <w:sz w:val="22"/>
          <w:szCs w:val="22"/>
        </w:rPr>
      </w:pPr>
    </w:p>
    <w:p w:rsidR="00FA1B76" w:rsidRDefault="00C30D0C" w14:paraId="70AF4A84" w14:textId="77777777">
      <w:pPr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>Para más información sobre la nota de prensa, resolver dudas o gestionar entrevistas</w:t>
      </w:r>
    </w:p>
    <w:p w:rsidR="00FA1B76" w:rsidRDefault="00C30D0C" w14:paraId="527B165C" w14:textId="77777777">
      <w:pPr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>Eva Martín</w:t>
      </w:r>
    </w:p>
    <w:p w:rsidR="00FA1B76" w:rsidRDefault="00C30D0C" w14:paraId="0B05E5D0" w14:textId="77777777">
      <w:pPr>
        <w:jc w:val="both"/>
        <w:rPr>
          <w:rFonts w:ascii="Calibri" w:hAnsi="Calibri" w:eastAsia="Calibri" w:cs="Calibri"/>
          <w:highlight w:val="white"/>
        </w:rPr>
      </w:pPr>
      <w:r>
        <w:rPr>
          <w:rFonts w:ascii="Roboto" w:hAnsi="Roboto" w:eastAsia="Roboto" w:cs="Roboto"/>
          <w:sz w:val="22"/>
          <w:szCs w:val="22"/>
        </w:rPr>
        <w:t xml:space="preserve">Tfno. 628 17 49 01 / </w:t>
      </w:r>
      <w:r>
        <w:rPr>
          <w:rFonts w:ascii="Roboto" w:hAnsi="Roboto" w:eastAsia="Roboto" w:cs="Roboto"/>
          <w:color w:val="E83544"/>
          <w:sz w:val="22"/>
          <w:szCs w:val="22"/>
        </w:rPr>
        <w:t xml:space="preserve"> </w:t>
      </w:r>
      <w:hyperlink r:id="rId18">
        <w:r>
          <w:rPr>
            <w:rFonts w:ascii="Roboto" w:hAnsi="Roboto" w:eastAsia="Roboto" w:cs="Roboto"/>
            <w:color w:val="E83544"/>
            <w:sz w:val="22"/>
            <w:szCs w:val="22"/>
            <w:u w:val="single"/>
          </w:rPr>
          <w:t>evamc@varenga.es</w:t>
        </w:r>
      </w:hyperlink>
    </w:p>
    <w:sectPr w:rsidR="00FA1B7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orient="portrait"/>
      <w:pgMar w:top="1417" w:right="1701" w:bottom="1417" w:left="1701" w:header="708" w:footer="708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C0FAF" w:rsidRDefault="007C0FAF" w14:paraId="08D1C146" w14:textId="77777777">
      <w:r>
        <w:separator/>
      </w:r>
    </w:p>
  </w:endnote>
  <w:endnote w:type="continuationSeparator" w:id="0">
    <w:p w:rsidR="007C0FAF" w:rsidRDefault="007C0FAF" w14:paraId="2DBB0E7E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2DF4F985-7C8E-4E41-A8CB-1D99A2B2579F}" r:id="rId1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2F266BF5-B415-4567-A0C7-CA0FC542C646}" r:id="rId2"/>
    <w:embedBold w:fontKey="{2B9D6D76-2924-4393-9551-4E22419DBC72}" r:id="rId3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49F9D48-A251-4857-8201-2C48CACA6003}" r:id="rId4"/>
    <w:embedBold w:fontKey="{542CC83E-89DE-433B-9651-97E03675613A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F2EEC764-F854-4820-9DE2-87C9991CC3D6}" r:id="rId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A1B76" w:rsidRDefault="00FA1B76" w14:paraId="62486C05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A1B76" w:rsidRDefault="00C30D0C" w14:paraId="133EDD17" w14:textId="1A5574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75E9E">
      <w:rPr>
        <w:noProof/>
        <w:color w:val="000000"/>
      </w:rPr>
      <w:t>1</w:t>
    </w:r>
    <w:r>
      <w:rPr>
        <w:color w:val="000000"/>
      </w:rPr>
      <w:fldChar w:fldCharType="end"/>
    </w:r>
  </w:p>
  <w:p w:rsidR="00FA1B76" w:rsidRDefault="00FA1B76" w14:paraId="53128261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A1B76" w:rsidRDefault="00FA1B76" w14:paraId="4B99056E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C0FAF" w:rsidRDefault="007C0FAF" w14:paraId="65D5F315" w14:textId="77777777">
      <w:r>
        <w:separator/>
      </w:r>
    </w:p>
  </w:footnote>
  <w:footnote w:type="continuationSeparator" w:id="0">
    <w:p w:rsidR="007C0FAF" w:rsidRDefault="007C0FAF" w14:paraId="091F3942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A1B76" w:rsidRDefault="00FA1B76" w14:paraId="1299C43A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FA1B76" w:rsidRDefault="00C30D0C" w14:paraId="45E8A0DF" w14:textId="77777777">
    <w:pPr>
      <w:ind w:left="-120"/>
      <w:jc w:val="both"/>
      <w:rPr>
        <w:rFonts w:ascii="Calibri" w:hAnsi="Calibri" w:eastAsia="Calibri" w:cs="Calibri"/>
        <w:b/>
        <w:bCs/>
        <w:sz w:val="40"/>
        <w:szCs w:val="4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D206936" wp14:editId="07777777">
          <wp:simplePos x="0" y="0"/>
          <wp:positionH relativeFrom="column">
            <wp:posOffset>4114800</wp:posOffset>
          </wp:positionH>
          <wp:positionV relativeFrom="paragraph">
            <wp:posOffset>-304773</wp:posOffset>
          </wp:positionV>
          <wp:extent cx="1547842" cy="997267"/>
          <wp:effectExtent l="0" t="0" r="0" b="0"/>
          <wp:wrapSquare wrapText="bothSides" distT="114300" distB="114300" distL="114300" distR="114300"/>
          <wp:docPr id="3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7842" cy="9972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A1B76" w:rsidRDefault="00C30D0C" w14:paraId="12ECC7C7" w14:textId="77777777">
    <w:pPr>
      <w:ind w:left="-120"/>
      <w:jc w:val="both"/>
      <w:rPr>
        <w:rFonts w:ascii="Roboto" w:hAnsi="Roboto" w:eastAsia="Roboto" w:cs="Roboto"/>
        <w:sz w:val="22"/>
        <w:szCs w:val="22"/>
      </w:rPr>
    </w:pPr>
    <w:r>
      <w:rPr>
        <w:rFonts w:ascii="Roboto" w:hAnsi="Roboto" w:eastAsia="Roboto" w:cs="Roboto"/>
        <w:b/>
        <w:bCs/>
        <w:sz w:val="40"/>
        <w:szCs w:val="40"/>
      </w:rPr>
      <w:t>NOTA DE PRENSA</w:t>
    </w:r>
    <w:r>
      <w:rPr>
        <w:rFonts w:ascii="Roboto" w:hAnsi="Roboto" w:eastAsia="Roboto" w:cs="Roboto"/>
        <w:sz w:val="22"/>
        <w:szCs w:val="22"/>
      </w:rPr>
      <w:t xml:space="preserve"> </w:t>
    </w:r>
  </w:p>
  <w:p w:rsidR="00FA1B76" w:rsidRDefault="00FA1B76" w14:paraId="4101652C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A1B76" w:rsidRDefault="00FA1B76" w14:paraId="3CF2D8B6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F11EE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33144060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dirty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B76"/>
    <w:rsid w:val="00403EAC"/>
    <w:rsid w:val="00495E75"/>
    <w:rsid w:val="00775E9E"/>
    <w:rsid w:val="007C0FAF"/>
    <w:rsid w:val="00C30D0C"/>
    <w:rsid w:val="00FA1B76"/>
    <w:rsid w:val="0CD63B0A"/>
    <w:rsid w:val="278FC18A"/>
    <w:rsid w:val="5959B0F6"/>
    <w:rsid w:val="5B621710"/>
    <w:rsid w:val="5F498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4280F"/>
  <w15:docId w15:val="{23C00FE0-02B2-47A0-9686-657923F96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hAnsi="Times New Roman" w:eastAsia="Times New Roman" w:cs="Times New Roman"/>
        <w:sz w:val="24"/>
        <w:szCs w:val="24"/>
        <w:lang w:val="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Normal0" w:customStyle="1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1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00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0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2" w:customStyle="1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3" w:customStyle="1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4" w:customStyle="1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5" w:customStyle="1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6" w:customStyle="1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7" w:customStyle="1">
    <w:name w:val="Table Normal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character" w:styleId="Refdecomentario">
    <w:name w:val="annotation reference"/>
    <w:basedOn w:val="Fuentedeprrafopredeter"/>
    <w:uiPriority w:val="99"/>
    <w:semiHidden/>
    <w:unhideWhenUsed/>
    <w:rsid w:val="00775E9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75E9E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775E9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75E9E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775E9E"/>
    <w:rPr>
      <w:b/>
      <w:bCs/>
      <w:sz w:val="20"/>
      <w:szCs w:val="20"/>
    </w:rPr>
  </w:style>
  <w:style w:type="character" w:styleId="Hyperlink">
    <w:uiPriority w:val="99"/>
    <w:name w:val="Hyperlink"/>
    <w:basedOn w:val="Fuentedeprrafopredeter"/>
    <w:unhideWhenUsed/>
    <w:rsid w:val="5959B0F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microsoft.com/office/2016/09/relationships/commentsIds" Target="commentsIds.xml" Id="rId13" /><Relationship Type="http://schemas.openxmlformats.org/officeDocument/2006/relationships/hyperlink" Target="mailto:evamc@varenga.es" TargetMode="External" Id="rId18" /><Relationship Type="http://schemas.microsoft.com/office/2011/relationships/people" Target="people.xml" Id="rId26" /><Relationship Type="http://schemas.openxmlformats.org/officeDocument/2006/relationships/customXml" Target="../customXml/item3.xml" Id="rId3" /><Relationship Type="http://schemas.openxmlformats.org/officeDocument/2006/relationships/footer" Target="footer1.xml" Id="rId21" /><Relationship Type="http://schemas.openxmlformats.org/officeDocument/2006/relationships/settings" Target="settings.xml" Id="rId7" /><Relationship Type="http://schemas.microsoft.com/office/2011/relationships/commentsExtended" Target="commentsExtended.xml" Id="rId12" /><Relationship Type="http://schemas.openxmlformats.org/officeDocument/2006/relationships/image" Target="media/image2.png" Id="rId17" /><Relationship Type="http://schemas.openxmlformats.org/officeDocument/2006/relationships/fontTable" Target="fontTable.xml" Id="rId25" /><Relationship Type="http://schemas.openxmlformats.org/officeDocument/2006/relationships/customXml" Target="../customXml/item2.xml" Id="rId2" /><Relationship Type="http://schemas.openxmlformats.org/officeDocument/2006/relationships/image" Target="media/image1.png" Id="rId16" /><Relationship Type="http://schemas.openxmlformats.org/officeDocument/2006/relationships/header" Target="header2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footer" Target="footer3.xml" Id="rId24" /><Relationship Type="http://schemas.openxmlformats.org/officeDocument/2006/relationships/numbering" Target="numbering.xml" Id="rId5" /><Relationship Type="http://schemas.openxmlformats.org/officeDocument/2006/relationships/hyperlink" Target="http://www.enac.es" TargetMode="External" Id="rId15" /><Relationship Type="http://schemas.openxmlformats.org/officeDocument/2006/relationships/header" Target="header3.xml" Id="rId23" /><Relationship Type="http://schemas.openxmlformats.org/officeDocument/2006/relationships/endnotes" Target="endnotes.xml" Id="rId10" /><Relationship Type="http://schemas.openxmlformats.org/officeDocument/2006/relationships/header" Target="header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22" /><Relationship Type="http://schemas.openxmlformats.org/officeDocument/2006/relationships/theme" Target="theme/theme1.xml" Id="rId27" /><Relationship Type="http://schemas.openxmlformats.org/officeDocument/2006/relationships/hyperlink" Target="https://www.enac.es/" TargetMode="External" Id="Rc83c5d37cf1840cb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152DE15686E4843A3780C010A78B13A" ma:contentTypeVersion="16" ma:contentTypeDescription="Crear nuevo documento." ma:contentTypeScope="" ma:versionID="e3b63cab70c3de109051f9544653c1b7">
  <xsd:schema xmlns:xsd="http://www.w3.org/2001/XMLSchema" xmlns:xs="http://www.w3.org/2001/XMLSchema" xmlns:p="http://schemas.microsoft.com/office/2006/metadata/properties" xmlns:ns2="6e290ce1-b2e7-4ccb-948d-a290ef611fa1" xmlns:ns3="909e21e3-a2e2-47ca-be0e-9c3a9bef9292" targetNamespace="http://schemas.microsoft.com/office/2006/metadata/properties" ma:root="true" ma:fieldsID="1bcb13fa94513590ec2caa56d4e98af8" ns2:_="" ns3:_="">
    <xsd:import namespace="6e290ce1-b2e7-4ccb-948d-a290ef611fa1"/>
    <xsd:import namespace="909e21e3-a2e2-47ca-be0e-9c3a9bef92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90ce1-b2e7-4ccb-948d-a290ef611f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45c5079e-b5d9-4f40-8558-acc8d9d79a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e21e3-a2e2-47ca-be0e-9c3a9bef929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6efcf77-0706-4f8e-b256-a6b4bd8b1840}" ma:internalName="TaxCatchAll" ma:showField="CatchAllData" ma:web="909e21e3-a2e2-47ca-be0e-9c3a9bef92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290ce1-b2e7-4ccb-948d-a290ef611fa1">
      <Terms xmlns="http://schemas.microsoft.com/office/infopath/2007/PartnerControls"/>
    </lcf76f155ced4ddcb4097134ff3c332f>
    <TaxCatchAll xmlns="909e21e3-a2e2-47ca-be0e-9c3a9bef9292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dk38PSTnk9c08Hrg2o1euZ8zNg==">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</go:docsCustomData>
</go:gDocsCustomXmlDataStorage>
</file>

<file path=customXml/itemProps1.xml><?xml version="1.0" encoding="utf-8"?>
<ds:datastoreItem xmlns:ds="http://schemas.openxmlformats.org/officeDocument/2006/customXml" ds:itemID="{D38F06E0-D8D1-4A64-8CF9-8F389F7362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290ce1-b2e7-4ccb-948d-a290ef611fa1"/>
    <ds:schemaRef ds:uri="909e21e3-a2e2-47ca-be0e-9c3a9bef92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D067DE-CA74-4C1D-85BA-753E71CEF6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C86C68-D6D4-45AC-BCB9-F54EA5258E91}">
  <ds:schemaRefs>
    <ds:schemaRef ds:uri="http://schemas.microsoft.com/office/2006/metadata/properties"/>
    <ds:schemaRef ds:uri="http://schemas.microsoft.com/office/infopath/2007/PartnerControls"/>
    <ds:schemaRef ds:uri="6e290ce1-b2e7-4ccb-948d-a290ef611fa1"/>
    <ds:schemaRef ds:uri="909e21e3-a2e2-47ca-be0e-9c3a9bef9292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Eva Martín</lastModifiedBy>
  <revision>4</revision>
  <dcterms:created xsi:type="dcterms:W3CDTF">2025-11-19T15:17:00.0000000Z</dcterms:created>
  <dcterms:modified xsi:type="dcterms:W3CDTF">2025-11-20T08:47:24.7204820Z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>MediaServiceImageTags</vt:lpwstr>
  </property>
  <property fmtid="{D5CDD505-2E9C-101B-9397-08002B2CF9AE}" pid="3" name="ContentTypeId">
    <vt:lpwstr>0x0101009152DE15686E4843A3780C010A78B13A</vt:lpwstr>
  </property>
</Properties>
</file>