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Elisa Gredilla, jefa del departamento Agroalimentario de ENAC, nuevo miembro del foro de 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stakeholders </w:t>
      </w:r>
      <w:r w:rsidDel="00000000" w:rsidR="00000000" w:rsidRPr="00000000">
        <w:rPr>
          <w:b w:val="1"/>
          <w:sz w:val="32"/>
          <w:szCs w:val="32"/>
          <w:rtl w:val="0"/>
        </w:rPr>
        <w:t xml:space="preserve">de The Global Initiative Food Safety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60" w:line="259" w:lineRule="auto"/>
        <w:ind w:left="720" w:hanging="360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The Global Initiative Food Safety</w:t>
      </w:r>
      <w:r w:rsidDel="00000000" w:rsidR="00000000" w:rsidRPr="00000000">
        <w:rPr>
          <w:b w:val="1"/>
          <w:rtl w:val="0"/>
        </w:rPr>
        <w:t xml:space="preserve">, organización a la que pertenece este foro, impulsa la mejora continua de los sistemas de gestión de seguridad alimentaria y garantiza la confianza en la entrega de alimentos seguros en todo el mundo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60" w:line="259" w:lineRule="auto"/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Tan solo dos personas pertenecientes a organismos de acreditación de todo el mundo han sido elegidas para formar parte del Stakeholder Advisory Forum (SAF), plataforma de colaboración entre los principales stakeholders mundiales en seguridad alimentaria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Madrid, mayo de 2020.- Elisa Gredilla, jefa del Departamento Agroalimentario y BPL de la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Entidad Nacional de Acreditación</w:t>
        </w:r>
      </w:hyperlink>
      <w:r w:rsidDel="00000000" w:rsidR="00000000" w:rsidRPr="00000000">
        <w:rPr>
          <w:rtl w:val="0"/>
        </w:rPr>
        <w:t xml:space="preserve"> (ENAC), ha sido elegida recientemente nuevo miembro del Stakeholder Advisory Forum (SAF) de</w:t>
      </w:r>
      <w:r w:rsidDel="00000000" w:rsidR="00000000" w:rsidRPr="00000000">
        <w:rPr>
          <w:b w:val="1"/>
          <w:rtl w:val="0"/>
        </w:rPr>
        <w:t xml:space="preserve"> la organización internacional </w:t>
      </w:r>
      <w:r w:rsidDel="00000000" w:rsidR="00000000" w:rsidRPr="00000000">
        <w:rPr>
          <w:rtl w:val="0"/>
        </w:rPr>
        <w:t xml:space="preserve">sobre seguridad alimentaria </w:t>
      </w:r>
      <w:r w:rsidDel="00000000" w:rsidR="00000000" w:rsidRPr="00000000">
        <w:rPr>
          <w:i w:val="1"/>
          <w:rtl w:val="0"/>
        </w:rPr>
        <w:t xml:space="preserve">The Global Initiative Food Safety</w:t>
      </w:r>
      <w:r w:rsidDel="00000000" w:rsidR="00000000" w:rsidRPr="00000000">
        <w:rPr>
          <w:rtl w:val="0"/>
        </w:rPr>
        <w:t xml:space="preserve">, dedicada a impulsar la mejora continua de los sistemas de gestión de seguridad alimentaria y garantizar la confianza en la entrega de alimentos seguros a los consumidores de todo el mundo.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La misión del foro de stakeholders de GFSI es asesorar a su junta directiva al respecto de sus requisitos de benchmarking, para que permanezcan actualizados y alineados con las tendencias de seguridad alimentaria del mercado.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De este modo, el SAF se constituye como una plataforma de colaboración entre los principales stakeholders mundiales en seguridad alimentaria. En consecuencia, está formado por representantes de las principales compañías agroalimentarias a nivel global en materia de fabricación o distribución, propietarios de esquemas de certificación agroalimentaria (GlobalG.A.P., FSSC22000, IFS Certification, BRC Global Standard, SQFI) y entidades de certificación como SGS. Con respecto al sector de la acreditación, </w:t>
      </w:r>
      <w:r w:rsidDel="00000000" w:rsidR="00000000" w:rsidRPr="00000000">
        <w:rPr>
          <w:b w:val="1"/>
          <w:rtl w:val="0"/>
        </w:rPr>
        <w:t xml:space="preserve">tan solo dos personas pertenecientes a organismos de acreditación han sido elegidas para formar parte del SAF</w:t>
      </w:r>
      <w:r w:rsidDel="00000000" w:rsidR="00000000" w:rsidRPr="00000000">
        <w:rPr>
          <w:rtl w:val="0"/>
        </w:rPr>
        <w:t xml:space="preserve">: una pertenece a ANAB, organismo de acreditación de Estados Unidos, y la otra a ENAC, que forman parte del grupo de trabajo en representación de International Accreditation Forum y de European Accreditation, respectivamente.</w:t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La acreditación española, presente en numerosos foros internacionales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La participación de ENAC en The Global Initiative Food Safety es una muestra más de la estrecha colaboración con diferentes organizaciones o administraciones internacionales que, de una u otra manera, están ligadas a la acreditación: la Unión Europea, la Organización para la Cooperación y el Desarrollo Económicos (OCDE), la organización internacional de normalización ISO por medio de su Comité de Evaluación de la Conformidad (CASCO), las federaciones internacionales de química clínica y medicina de laboratorio (IFCC y EFLM), proveedores de esquemas de certificación agroalimentarios como GlobalG.A.P. o FSSC22000.</w:t>
      </w:r>
    </w:p>
    <w:p w:rsidR="00000000" w:rsidDel="00000000" w:rsidP="00000000" w:rsidRDefault="00000000" w:rsidRPr="00000000" w14:paraId="0000000C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Sobre ENAC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 Entidad Nacional de Acreditación – ENAC – es la entidad designada por el Gobierno para operar en España como el único Organismo Nacional de Acreditación, en aplicación del Reglamento (CE) nº 765/2008 del Parlamento Europeo que regula el funcionamiento de la acreditación en Europa.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1f497d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bottom w:color="000000" w:space="1" w:sz="12" w:val="single"/>
        </w:pBdr>
        <w:spacing w:after="0" w:line="240" w:lineRule="auto"/>
        <w:jc w:val="both"/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www.enac.es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bottom w:color="000000" w:space="1" w:sz="12" w:val="single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b="0" l="0" r="0" t="0"/>
            <wp:wrapSquare wrapText="bothSides" distB="0" distT="0" distL="114300" distR="114300"/>
            <wp:docPr descr="Descripción: Resultado de imagen de icono linkedin" id="4" name="image1.png"/>
            <a:graphic>
              <a:graphicData uri="http://schemas.openxmlformats.org/drawingml/2006/picture">
                <pic:pic>
                  <pic:nvPicPr>
                    <pic:cNvPr descr="Descripción: Resultado de imagen de icono linkedin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2216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3812</wp:posOffset>
            </wp:positionH>
            <wp:positionV relativeFrom="paragraph">
              <wp:posOffset>118110</wp:posOffset>
            </wp:positionV>
            <wp:extent cx="221615" cy="181610"/>
            <wp:effectExtent b="0" l="0" r="0" t="0"/>
            <wp:wrapSquare wrapText="bothSides" distB="0" distT="0" distL="114300" distR="114300"/>
            <wp:docPr descr="Descripción: Resultado de imagen de icono twitter" id="5" name="image2.png"/>
            <a:graphic>
              <a:graphicData uri="http://schemas.openxmlformats.org/drawingml/2006/picture">
                <pic:pic>
                  <pic:nvPicPr>
                    <pic:cNvPr descr="Descripción: Resultado de imagen de icono twitter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181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pBdr>
          <w:bottom w:color="000000" w:space="1" w:sz="12" w:val="single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bottom w:color="000000" w:space="1" w:sz="12" w:val="single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Para más información sobre la nota de prensa, resolver dudas o gestionar entrevistas: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Eva Martín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Tfno. 628 17 49 01 / </w:t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evamc@varenga.es</w:t>
        </w:r>
      </w:hyperlink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40"/>
        <w:szCs w:val="40"/>
      </w:rPr>
    </w:pPr>
    <w:r w:rsidDel="00000000" w:rsidR="00000000" w:rsidRPr="00000000">
      <w:rPr>
        <w:b w:val="1"/>
        <w:color w:val="000000"/>
        <w:sz w:val="40"/>
        <w:szCs w:val="40"/>
        <w:rtl w:val="0"/>
      </w:rPr>
      <w:t xml:space="preserve">NOTA DE PRENSA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4530090</wp:posOffset>
          </wp:positionH>
          <wp:positionV relativeFrom="paragraph">
            <wp:posOffset>-297178</wp:posOffset>
          </wp:positionV>
          <wp:extent cx="1324610" cy="733425"/>
          <wp:effectExtent b="0" l="0" r="0" t="0"/>
          <wp:wrapSquare wrapText="bothSides" distB="0" distT="0" distL="114300" distR="11430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4610" cy="733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F4EF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F4EF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evamc@varenga.es" TargetMode="External"/><Relationship Id="rId10" Type="http://schemas.openxmlformats.org/officeDocument/2006/relationships/image" Target="media/image2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enac.es" TargetMode="External"/><Relationship Id="rId8" Type="http://schemas.openxmlformats.org/officeDocument/2006/relationships/hyperlink" Target="http://www.enac.e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FG0jfmDgJEoyg4hSuimuULgCfQ==">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2020-05-25T09:51:00Z</dcterms:created>
  <dc:creator>Denise Diaz Pozo</dc:creator>
</cp:coreProperties>
</file>