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30DB9" w:rsidRDefault="00E30DB9" w14:paraId="00000001" w14:textId="77777777">
      <w:pPr>
        <w:jc w:val="center"/>
        <w:rPr>
          <w:rFonts w:ascii="Roboto" w:hAnsi="Roboto" w:eastAsia="Roboto" w:cs="Roboto"/>
          <w:sz w:val="34"/>
          <w:szCs w:val="34"/>
        </w:rPr>
      </w:pPr>
    </w:p>
    <w:p w:rsidR="00E30DB9" w:rsidRDefault="00684C09" w14:paraId="00000002" w14:textId="77777777">
      <w:pPr>
        <w:jc w:val="center"/>
        <w:rPr>
          <w:rFonts w:ascii="Roboto" w:hAnsi="Roboto" w:eastAsia="Roboto" w:cs="Roboto"/>
          <w:sz w:val="34"/>
          <w:szCs w:val="34"/>
        </w:rPr>
      </w:pPr>
      <w:r>
        <w:rPr>
          <w:rFonts w:ascii="Roboto" w:hAnsi="Roboto" w:eastAsia="Roboto" w:cs="Roboto"/>
          <w:b/>
          <w:sz w:val="34"/>
          <w:szCs w:val="34"/>
        </w:rPr>
        <w:t>La organización europea de acreditadores EA lanza la marca del acuerdo multilateral de reconocimiento</w:t>
      </w:r>
      <w:r>
        <w:rPr>
          <w:rFonts w:ascii="Roboto" w:hAnsi="Roboto" w:eastAsia="Roboto" w:cs="Roboto"/>
          <w:sz w:val="34"/>
          <w:szCs w:val="34"/>
        </w:rPr>
        <w:t xml:space="preserve"> </w:t>
      </w:r>
    </w:p>
    <w:p w:rsidR="00E30DB9" w:rsidRDefault="00684C09" w14:paraId="00000003" w14:textId="77777777">
      <w:pPr>
        <w:jc w:val="center"/>
        <w:rPr>
          <w:rFonts w:ascii="Roboto" w:hAnsi="Roboto" w:eastAsia="Roboto" w:cs="Roboto"/>
          <w:b/>
          <w:sz w:val="34"/>
          <w:szCs w:val="34"/>
        </w:rPr>
      </w:pPr>
      <w:r>
        <w:rPr>
          <w:rFonts w:ascii="Roboto" w:hAnsi="Roboto" w:eastAsia="Roboto" w:cs="Roboto"/>
          <w:b/>
          <w:sz w:val="34"/>
          <w:szCs w:val="34"/>
        </w:rPr>
        <w:t xml:space="preserve"> </w:t>
      </w:r>
    </w:p>
    <w:p w:rsidR="00E30DB9" w:rsidRDefault="00684C09" w14:paraId="00000004" w14:textId="77777777">
      <w:pPr>
        <w:numPr>
          <w:ilvl w:val="0"/>
          <w:numId w:val="1"/>
        </w:num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sz w:val="20"/>
          <w:szCs w:val="20"/>
        </w:rPr>
      </w:pPr>
      <w:r>
        <w:rPr>
          <w:rFonts w:ascii="Roboto" w:hAnsi="Roboto" w:eastAsia="Roboto" w:cs="Roboto"/>
          <w:b/>
          <w:sz w:val="20"/>
          <w:szCs w:val="20"/>
        </w:rPr>
        <w:t>ENAC pondrá próximamente a disposición de las entidades acreditadas la marca combinada EA MLA-ENAC, con el fin de que puedan hacer uso de ella en los certificados e informes emitidos dentro de su alcance de acreditación.</w:t>
      </w:r>
    </w:p>
    <w:p w:rsidR="00E30DB9" w:rsidRDefault="00684C09" w14:paraId="00000005" w14:textId="77777777">
      <w:pPr>
        <w:numPr>
          <w:ilvl w:val="0"/>
          <w:numId w:val="1"/>
        </w:num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sz w:val="20"/>
          <w:szCs w:val="20"/>
        </w:rPr>
      </w:pPr>
      <w:r>
        <w:rPr>
          <w:rFonts w:ascii="Roboto" w:hAnsi="Roboto" w:eastAsia="Roboto" w:cs="Roboto"/>
          <w:b/>
          <w:sz w:val="20"/>
          <w:szCs w:val="20"/>
        </w:rPr>
        <w:t>El objetivo de esta marca es incrementar la confianza del mercado dentro de la UE facilitando la identificación de los organismos con la competencia técnica necesaria para emitir resultados fiables, cuyos informes y certificados contarán con el respaldo internacional.</w:t>
      </w:r>
    </w:p>
    <w:p w:rsidR="00E30DB9" w:rsidP="27BB6CDF" w:rsidRDefault="00684C09" w14:paraId="00000006" w14:textId="1CB570DB">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lang w:val="es-ES"/>
        </w:rPr>
      </w:pPr>
      <w:r w:rsidRPr="27BB6CDF">
        <w:rPr>
          <w:rFonts w:ascii="Roboto" w:hAnsi="Roboto" w:eastAsia="Roboto" w:cs="Roboto"/>
          <w:sz w:val="22"/>
          <w:szCs w:val="22"/>
          <w:lang w:val="es-ES"/>
        </w:rPr>
        <w:t>Madrid, 16 de septiembre de 2025. – La</w:t>
      </w:r>
      <w:r w:rsidR="008A05CA">
        <w:rPr>
          <w:rFonts w:ascii="Roboto" w:hAnsi="Roboto" w:eastAsia="Roboto" w:cs="Roboto"/>
          <w:sz w:val="22"/>
          <w:szCs w:val="22"/>
          <w:lang w:val="es-ES"/>
        </w:rPr>
        <w:t xml:space="preserve"> organización europea de acreditadores</w:t>
      </w:r>
      <w:r w:rsidRPr="27BB6CDF">
        <w:rPr>
          <w:rFonts w:ascii="Roboto" w:hAnsi="Roboto" w:eastAsia="Roboto" w:cs="Roboto"/>
          <w:sz w:val="22"/>
          <w:szCs w:val="22"/>
          <w:lang w:val="es-ES"/>
        </w:rPr>
        <w:t xml:space="preserve"> </w:t>
      </w:r>
      <w:r w:rsidRPr="27BB6CDF">
        <w:rPr>
          <w:rFonts w:ascii="Roboto" w:hAnsi="Roboto" w:eastAsia="Roboto" w:cs="Roboto"/>
          <w:b/>
          <w:bCs/>
          <w:sz w:val="22"/>
          <w:szCs w:val="22"/>
          <w:lang w:val="es-ES"/>
        </w:rPr>
        <w:t>European Accreditation</w:t>
      </w:r>
      <w:r w:rsidRPr="27BB6CDF">
        <w:rPr>
          <w:rFonts w:ascii="Roboto" w:hAnsi="Roboto" w:eastAsia="Roboto" w:cs="Roboto"/>
          <w:sz w:val="22"/>
          <w:szCs w:val="22"/>
          <w:lang w:val="es-ES"/>
        </w:rPr>
        <w:t xml:space="preserve"> (EA) ha lanzado la marca EA MLA, una nueva herramienta para reforzar la confianza en los servicios prestados por los organismos de evaluación de la conformidad acreditados en el marco del acuerdo multilateral de reconocimiento de EA (EA MLA).</w:t>
      </w:r>
    </w:p>
    <w:p w:rsidR="00E30DB9" w:rsidRDefault="00E30DB9" w14:paraId="00000007"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4B4642EE" w:rsidP="3592C585" w:rsidRDefault="4B4642EE" w14:paraId="4D25ECDD" w14:textId="0CAAF86A">
      <w:pPr>
        <w:shd w:val="clear" w:color="auto" w:fill="FFFFFF" w:themeFill="background1"/>
        <w:spacing w:before="0" w:beforeAutospacing="off" w:after="0" w:afterAutospacing="off"/>
        <w:jc w:val="both"/>
      </w:pPr>
      <w:r w:rsidRPr="3592C585" w:rsidR="4B4642EE">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El EA MLA es el </w:t>
      </w:r>
      <w:r w:rsidRPr="3592C585" w:rsidR="4B4642EE">
        <w:rPr>
          <w:rFonts w:ascii="Roboto" w:hAnsi="Roboto" w:eastAsia="Roboto" w:cs="Roboto"/>
          <w:b w:val="1"/>
          <w:bCs w:val="1"/>
          <w:i w:val="0"/>
          <w:iCs w:val="0"/>
          <w:strike w:val="0"/>
          <w:dstrike w:val="0"/>
          <w:noProof w:val="0"/>
          <w:color w:val="000000" w:themeColor="text1" w:themeTint="FF" w:themeShade="FF"/>
          <w:sz w:val="22"/>
          <w:szCs w:val="22"/>
          <w:u w:val="none"/>
          <w:lang w:val="es-ES"/>
        </w:rPr>
        <w:t>acuerdo de reconocimiento mutuo firmado por los organismos nacionales de acreditación miembros de EA, (entre ellos el español, ENAC, la</w:t>
      </w:r>
      <w:hyperlink r:id="R7319f206b6bb4452">
        <w:r w:rsidRPr="3592C585" w:rsidR="4B4642EE">
          <w:rPr>
            <w:rStyle w:val="Hyperlink"/>
            <w:rFonts w:ascii="Roboto" w:hAnsi="Roboto" w:eastAsia="Roboto" w:cs="Roboto"/>
            <w:b w:val="1"/>
            <w:bCs w:val="1"/>
            <w:i w:val="0"/>
            <w:iCs w:val="0"/>
            <w:strike w:val="0"/>
            <w:dstrike w:val="0"/>
            <w:noProof w:val="0"/>
            <w:sz w:val="22"/>
            <w:szCs w:val="22"/>
            <w:lang w:val="es-ES"/>
          </w:rPr>
          <w:t xml:space="preserve"> </w:t>
        </w:r>
        <w:r w:rsidRPr="3592C585" w:rsidR="4B4642EE">
          <w:rPr>
            <w:rStyle w:val="Hyperlink"/>
            <w:rFonts w:ascii="Roboto" w:hAnsi="Roboto" w:eastAsia="Roboto" w:cs="Roboto"/>
            <w:b w:val="1"/>
            <w:bCs w:val="1"/>
            <w:i w:val="0"/>
            <w:iCs w:val="0"/>
            <w:strike w:val="0"/>
            <w:dstrike w:val="0"/>
            <w:noProof w:val="0"/>
            <w:color w:val="1155CC"/>
            <w:sz w:val="22"/>
            <w:szCs w:val="22"/>
            <w:u w:val="none"/>
            <w:lang w:val="es-ES"/>
          </w:rPr>
          <w:t>Entidad Nacional de Acreditación)</w:t>
        </w:r>
      </w:hyperlink>
      <w:r w:rsidRPr="3592C585" w:rsidR="4B4642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s-ES"/>
        </w:rPr>
        <w:t xml:space="preserve"> </w:t>
      </w:r>
      <w:r w:rsidRPr="3592C585" w:rsidR="4B4642EE">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que han superado con éxito los procesos de evaluación. </w:t>
      </w:r>
      <w:r w:rsidRPr="3592C585" w:rsidR="4B4642EE">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A través de este acuerdo, los firmantes del EA MLA reconocen y aceptan mutuamente la equivalencia de sus sistemas de acreditación, lo que implica que </w:t>
      </w:r>
      <w:r w:rsidRPr="3592C585" w:rsidR="4B4642EE">
        <w:rPr>
          <w:rFonts w:ascii="Roboto" w:hAnsi="Roboto" w:eastAsia="Roboto" w:cs="Roboto"/>
          <w:b w:val="1"/>
          <w:bCs w:val="1"/>
          <w:i w:val="0"/>
          <w:iCs w:val="0"/>
          <w:strike w:val="0"/>
          <w:dstrike w:val="0"/>
          <w:noProof w:val="0"/>
          <w:color w:val="000000" w:themeColor="text1" w:themeTint="FF" w:themeShade="FF"/>
          <w:sz w:val="22"/>
          <w:szCs w:val="22"/>
          <w:u w:val="none"/>
          <w:lang w:val="es-ES"/>
        </w:rPr>
        <w:t>los informes o certificados emitidos por entidades acreditadas en el marco del MLA contarán también con el respaldo y el reconocimiento de los organismos de acreditación firmantes</w:t>
      </w:r>
      <w:r w:rsidRPr="3592C585" w:rsidR="4B4642EE">
        <w:rPr>
          <w:rFonts w:ascii="Roboto" w:hAnsi="Roboto" w:eastAsia="Roboto" w:cs="Roboto"/>
          <w:b w:val="0"/>
          <w:bCs w:val="0"/>
          <w:i w:val="0"/>
          <w:iCs w:val="0"/>
          <w:strike w:val="0"/>
          <w:dstrike w:val="0"/>
          <w:noProof w:val="0"/>
          <w:color w:val="000000" w:themeColor="text1" w:themeTint="FF" w:themeShade="FF"/>
          <w:sz w:val="22"/>
          <w:szCs w:val="22"/>
          <w:u w:val="none"/>
          <w:lang w:val="es-ES"/>
        </w:rPr>
        <w:t>, facilitando el comercio internacional al reducir las barreras técnicas.</w:t>
      </w:r>
      <w:r w:rsidRPr="3592C585" w:rsidR="4B4642EE">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w:t>
      </w:r>
    </w:p>
    <w:p w:rsidR="3592C585" w:rsidP="3592C585" w:rsidRDefault="3592C585" w14:paraId="034F34D6" w14:textId="413D6701">
      <w:pPr>
        <w:jc w:val="both"/>
      </w:pPr>
    </w:p>
    <w:p w:rsidR="00E30DB9" w:rsidRDefault="00684C09" w14:paraId="00000009"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sz w:val="22"/>
          <w:szCs w:val="22"/>
        </w:rPr>
      </w:pPr>
      <w:r>
        <w:rPr>
          <w:rFonts w:ascii="Roboto" w:hAnsi="Roboto" w:eastAsia="Roboto" w:cs="Roboto"/>
          <w:b/>
          <w:sz w:val="22"/>
          <w:szCs w:val="22"/>
        </w:rPr>
        <w:t>El objetivo de esta marca es, por tanto, incrementar la confianza del mercado, en particular dentro de la UE,</w:t>
      </w:r>
      <w:r>
        <w:rPr>
          <w:rFonts w:ascii="Roboto" w:hAnsi="Roboto" w:eastAsia="Roboto" w:cs="Roboto"/>
          <w:sz w:val="22"/>
          <w:szCs w:val="22"/>
        </w:rPr>
        <w:t xml:space="preserve"> facilitando a las partes interesadas —mercado, prescriptores, reguladores y autoridades—la identificación de los organismos de evaluación de la conformidad acreditados por los firmantes del acuerdo de reconocimiento de EA y que cuenta con la competencia técnica necesaria para emitir resultados fiables y cuyos informes y certificados contarán con el respaldo internacional.</w:t>
      </w:r>
    </w:p>
    <w:p w:rsidR="00E30DB9" w:rsidP="27BB6CDF" w:rsidRDefault="00684C09" w14:paraId="0000000A"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sz w:val="22"/>
          <w:szCs w:val="22"/>
          <w:lang w:val="es-ES"/>
        </w:rPr>
      </w:pPr>
      <w:r w:rsidRPr="27BB6CDF">
        <w:rPr>
          <w:rFonts w:ascii="Roboto" w:hAnsi="Roboto" w:eastAsia="Roboto" w:cs="Roboto"/>
          <w:sz w:val="22"/>
          <w:szCs w:val="22"/>
          <w:lang w:val="es-ES"/>
        </w:rPr>
        <w:t xml:space="preserve">En línea con este lanzamiento, ENAC pondrá próximamente a disposición de las entidades acreditadas la marca combinada EA MLA-ENAC, con el fin de que puedan hacer uso de ella en los certificados e informes emitidos dentro de su alcance de acreditación. Asimismo, se procederá a la revisión del documento CEA-ENAC-01 en el que se contemplen las reglas para su uso.  </w:t>
      </w:r>
    </w:p>
    <w:p w:rsidR="00E30DB9" w:rsidP="3E4FEA16" w:rsidRDefault="00684C09" w14:paraId="0000000C" w14:textId="75322BA9">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color w:val="auto"/>
          <w:sz w:val="22"/>
          <w:szCs w:val="22"/>
        </w:rPr>
      </w:pPr>
      <w:sdt>
        <w:sdtPr>
          <w:id w:val="1583662545"/>
          <w:tag w:val="goog_rdk_5"/>
          <w:placeholder>
            <w:docPart w:val="DefaultPlaceholder_1081868574"/>
          </w:placeholder>
        </w:sdtPr>
        <w:sdtContent/>
      </w:sdt>
      <w:r w:rsidRPr="3E4FEA16" w:rsidR="00684C09">
        <w:rPr>
          <w:rFonts w:ascii="Roboto" w:hAnsi="Roboto" w:eastAsia="Roboto" w:cs="Roboto"/>
          <w:color w:val="auto"/>
          <w:sz w:val="22"/>
          <w:szCs w:val="22"/>
        </w:rPr>
        <w:t xml:space="preserve">ENAC es firmante de todos los acuerdos internacionales suscritos, no solo en EA, también en las organizaciones internacionales ILAC e IAF, lo que convierte a las casi 2.000 entidades acreditadas por ENAC en una valiosa herramienta para las empresas españolas a la hora de abrirse paso a nuevos mercados, ya que sus informes y certificados son reconocidos en más de 120 economías entre las que se encuentran la totalidad de la Unión Europea. </w:t>
      </w:r>
    </w:p>
    <w:p w:rsidR="00E30DB9" w:rsidRDefault="00E30DB9" w14:paraId="0000000D" w14:textId="77777777">
      <w:pPr>
        <w:jc w:val="both"/>
        <w:rPr>
          <w:rFonts w:ascii="Roboto" w:hAnsi="Roboto" w:eastAsia="Roboto" w:cs="Roboto"/>
          <w:color w:val="FF0000"/>
          <w:sz w:val="22"/>
          <w:szCs w:val="22"/>
        </w:rPr>
      </w:pPr>
    </w:p>
    <w:p w:rsidR="438CCFC7" w:rsidP="3E4FEA16" w:rsidRDefault="438CCFC7" w14:paraId="7247791B" w14:textId="5EFC2642">
      <w:pPr>
        <w:spacing w:before="0" w:beforeAutospacing="off" w:after="160" w:afterAutospacing="off"/>
        <w:jc w:val="both"/>
      </w:pPr>
      <w:r w:rsidRPr="3E4FEA16" w:rsidR="438CCFC7">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Para más información, puede consultarse la </w:t>
      </w:r>
      <w:hyperlink r:id="Re51b44f4c3f74b18">
        <w:r w:rsidRPr="3E4FEA16" w:rsidR="438CCFC7">
          <w:rPr>
            <w:rStyle w:val="Hyperlink"/>
            <w:rFonts w:ascii="Roboto" w:hAnsi="Roboto" w:eastAsia="Roboto" w:cs="Roboto"/>
            <w:b w:val="1"/>
            <w:bCs w:val="1"/>
            <w:i w:val="0"/>
            <w:iCs w:val="0"/>
            <w:strike w:val="0"/>
            <w:dstrike w:val="0"/>
            <w:noProof w:val="0"/>
            <w:color w:val="000000" w:themeColor="text1" w:themeTint="FF" w:themeShade="FF"/>
            <w:sz w:val="22"/>
            <w:szCs w:val="22"/>
            <w:u w:val="none"/>
            <w:lang w:val="es"/>
          </w:rPr>
          <w:t>página web de European Accreditation</w:t>
        </w:r>
      </w:hyperlink>
      <w:r w:rsidRPr="3E4FEA16" w:rsidR="438CCFC7">
        <w:rPr>
          <w:rFonts w:ascii="Roboto" w:hAnsi="Roboto" w:eastAsia="Roboto" w:cs="Roboto"/>
          <w:b w:val="0"/>
          <w:bCs w:val="0"/>
          <w:i w:val="0"/>
          <w:iCs w:val="0"/>
          <w:strike w:val="0"/>
          <w:dstrike w:val="0"/>
          <w:noProof w:val="0"/>
          <w:color w:val="000000" w:themeColor="text1" w:themeTint="FF" w:themeShade="FF"/>
          <w:sz w:val="22"/>
          <w:szCs w:val="22"/>
          <w:u w:val="none"/>
          <w:lang w:val="es"/>
        </w:rPr>
        <w:t>.</w:t>
      </w:r>
    </w:p>
    <w:p w:rsidR="00E30DB9" w:rsidRDefault="00E30DB9" w14:paraId="00000013" w14:textId="77777777">
      <w:pPr>
        <w:jc w:val="both"/>
        <w:rPr>
          <w:rFonts w:ascii="Roboto" w:hAnsi="Roboto" w:eastAsia="Roboto" w:cs="Roboto"/>
          <w:b/>
          <w:sz w:val="22"/>
          <w:szCs w:val="22"/>
        </w:rPr>
      </w:pPr>
    </w:p>
    <w:p w:rsidR="00E30DB9" w:rsidRDefault="00684C09" w14:paraId="0000001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w:rsidR="00E30DB9" w:rsidRDefault="00E30DB9" w14:paraId="0000001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w:rsidR="00E30DB9" w:rsidRDefault="00684C09" w14:paraId="0000001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E30DB9" w:rsidRDefault="00684C09" w14:paraId="0000001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1F497D"/>
          <w:sz w:val="22"/>
          <w:szCs w:val="22"/>
        </w:rPr>
      </w:pPr>
      <w:r>
        <w:rPr>
          <w:rFonts w:ascii="Roboto" w:hAnsi="Roboto" w:eastAsia="Roboto" w:cs="Roboto"/>
          <w:color w:val="1F497D"/>
          <w:sz w:val="22"/>
          <w:szCs w:val="22"/>
        </w:rPr>
        <w:t> </w:t>
      </w:r>
    </w:p>
    <w:p w:rsidR="00E30DB9" w:rsidRDefault="00684C09" w14:paraId="0000001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E30DB9" w:rsidRDefault="00684C09" w14:paraId="0000001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E30DB9" w:rsidRDefault="00684C09" w14:paraId="0000001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E30DB9" w:rsidRDefault="00684C09" w14:paraId="0000001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E30DB9" w:rsidRDefault="00684C09" w14:paraId="0000001C" w14:textId="77777777">
      <w:pPr>
        <w:pBdr>
          <w:bottom w:val="single" w:color="000000" w:sz="12" w:space="1"/>
        </w:pBdr>
        <w:jc w:val="both"/>
        <w:rPr>
          <w:rFonts w:ascii="Roboto" w:hAnsi="Roboto" w:eastAsia="Roboto" w:cs="Roboto"/>
          <w:color w:val="E83544"/>
          <w:sz w:val="22"/>
          <w:szCs w:val="22"/>
        </w:rPr>
      </w:pPr>
      <w:hyperlink r:id="rId16">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E30DB9" w:rsidRDefault="00684C09" w14:paraId="0000001D" w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w:rsidR="00E30DB9" w:rsidRDefault="00684C09" w14:paraId="0000001E"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3EAEBDC4" wp14:editId="07777777">
            <wp:extent cx="319366" cy="319366"/>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166E7E35" wp14:editId="07777777">
            <wp:extent cx="316348" cy="31634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16348" cy="316348"/>
                    </a:xfrm>
                    <a:prstGeom prst="rect">
                      <a:avLst/>
                    </a:prstGeom>
                    <a:ln/>
                  </pic:spPr>
                </pic:pic>
              </a:graphicData>
            </a:graphic>
          </wp:inline>
        </w:drawing>
      </w:r>
    </w:p>
    <w:p w:rsidR="00E30DB9" w:rsidRDefault="00E30DB9" w14:paraId="0000001F" w14:textId="77777777">
      <w:pPr>
        <w:pBdr>
          <w:bottom w:val="single" w:color="000000" w:sz="12" w:space="1"/>
        </w:pBdr>
        <w:jc w:val="both"/>
        <w:rPr>
          <w:rFonts w:ascii="Roboto" w:hAnsi="Roboto" w:eastAsia="Roboto" w:cs="Roboto"/>
          <w:color w:val="E83544"/>
          <w:sz w:val="22"/>
          <w:szCs w:val="22"/>
        </w:rPr>
      </w:pPr>
    </w:p>
    <w:p w:rsidR="00E30DB9" w:rsidRDefault="00E30DB9" w14:paraId="00000020" w14:textId="77777777">
      <w:pPr>
        <w:jc w:val="both"/>
        <w:rPr>
          <w:rFonts w:ascii="Roboto" w:hAnsi="Roboto" w:eastAsia="Roboto" w:cs="Roboto"/>
          <w:color w:val="E83544"/>
          <w:sz w:val="22"/>
          <w:szCs w:val="22"/>
        </w:rPr>
      </w:pPr>
    </w:p>
    <w:p w:rsidR="00E30DB9" w:rsidRDefault="00684C09" w14:paraId="00000021"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E30DB9" w:rsidRDefault="00684C09" w14:paraId="00000022" w14:textId="77777777">
      <w:pPr>
        <w:jc w:val="both"/>
        <w:rPr>
          <w:rFonts w:ascii="Roboto" w:hAnsi="Roboto" w:eastAsia="Roboto" w:cs="Roboto"/>
          <w:sz w:val="22"/>
          <w:szCs w:val="22"/>
        </w:rPr>
      </w:pPr>
      <w:r>
        <w:rPr>
          <w:rFonts w:ascii="Roboto" w:hAnsi="Roboto" w:eastAsia="Roboto" w:cs="Roboto"/>
          <w:sz w:val="22"/>
          <w:szCs w:val="22"/>
        </w:rPr>
        <w:t>Eva Martín</w:t>
      </w:r>
    </w:p>
    <w:p w:rsidR="00E30DB9" w:rsidRDefault="00684C09" w14:paraId="00000023"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9">
        <w:r>
          <w:rPr>
            <w:rFonts w:ascii="Roboto" w:hAnsi="Roboto" w:eastAsia="Roboto" w:cs="Roboto"/>
            <w:color w:val="E83544"/>
            <w:sz w:val="22"/>
            <w:szCs w:val="22"/>
            <w:u w:val="single"/>
          </w:rPr>
          <w:t>evamc@varenga.es</w:t>
        </w:r>
      </w:hyperlink>
    </w:p>
    <w:p w:rsidR="00E30DB9" w:rsidRDefault="00E30DB9" w14:paraId="00000024" w14:textId="77777777">
      <w:pPr>
        <w:spacing w:after="200" w:line="276" w:lineRule="auto"/>
        <w:rPr>
          <w:rFonts w:ascii="Roboto" w:hAnsi="Roboto" w:eastAsia="Roboto" w:cs="Roboto"/>
          <w:sz w:val="22"/>
          <w:szCs w:val="22"/>
        </w:rPr>
      </w:pPr>
    </w:p>
    <w:p w:rsidR="00E30DB9" w:rsidRDefault="00E30DB9" w14:paraId="00000025" w14:textId="77777777">
      <w:pPr>
        <w:rPr>
          <w:rFonts w:ascii="Calibri" w:hAnsi="Calibri" w:eastAsia="Calibri" w:cs="Calibri"/>
          <w:b/>
          <w:sz w:val="22"/>
          <w:szCs w:val="22"/>
          <w:u w:val="single"/>
        </w:rPr>
      </w:pPr>
    </w:p>
    <w:p w:rsidR="00E30DB9" w:rsidRDefault="00E30DB9" w14:paraId="00000026" w14:textId="77777777">
      <w:pPr>
        <w:jc w:val="both"/>
        <w:rPr>
          <w:rFonts w:ascii="Calibri" w:hAnsi="Calibri" w:eastAsia="Calibri" w:cs="Calibri"/>
          <w:b/>
          <w:sz w:val="22"/>
          <w:szCs w:val="22"/>
          <w:u w:val="single"/>
        </w:rPr>
      </w:pPr>
    </w:p>
    <w:p w:rsidR="00E30DB9" w:rsidRDefault="00E30DB9" w14:paraId="00000027" w14:textId="77777777">
      <w:pPr>
        <w:pBdr>
          <w:top w:val="nil"/>
          <w:left w:val="nil"/>
          <w:bottom w:val="nil"/>
          <w:right w:val="nil"/>
          <w:between w:val="nil"/>
        </w:pBdr>
        <w:rPr>
          <w:rFonts w:ascii="Calibri" w:hAnsi="Calibri" w:eastAsia="Calibri" w:cs="Calibri"/>
          <w:highlight w:val="white"/>
        </w:rPr>
      </w:pPr>
    </w:p>
    <w:sectPr w:rsidR="00E30DB9">
      <w:headerReference w:type="even" r:id="rId20"/>
      <w:headerReference w:type="default" r:id="rId21"/>
      <w:footerReference w:type="even" r:id="rId22"/>
      <w:footerReference w:type="default" r:id="rId23"/>
      <w:headerReference w:type="first" r:id="rId24"/>
      <w:footerReference w:type="first" r:id="rId25"/>
      <w:pgSz w:w="11906" w:h="16838" w:orient="portrait"/>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2B76" w:rsidRDefault="00602B76" w14:paraId="62AE6C6B" w14:textId="77777777">
      <w:r>
        <w:separator/>
      </w:r>
    </w:p>
  </w:endnote>
  <w:endnote w:type="continuationSeparator" w:id="0">
    <w:p w:rsidR="00602B76" w:rsidRDefault="00602B76" w14:paraId="14B2A8D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D29D5AE6-A3D9-4AAC-BCE2-1AB19F9DCCB7}"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3750037-9C61-401C-ADDC-DCC925943093}" r:id="rId2"/>
    <w:embedItalic w:fontKey="{14691514-3A58-4AE0-9885-A6DE508A2930}" r:id="rId3"/>
  </w:font>
  <w:font w:name="Roboto">
    <w:charset w:val="00"/>
    <w:family w:val="auto"/>
    <w:pitch w:val="variable"/>
    <w:sig w:usb0="E0000AFF" w:usb1="5000217F" w:usb2="00000021" w:usb3="00000000" w:csb0="0000019F" w:csb1="00000000"/>
    <w:embedRegular w:fontKey="{EF62FC9B-BBFE-4B89-8B26-FA02A41F26C8}" r:id="rId4"/>
    <w:embedBold w:fontKey="{4F592176-7CF2-45D6-80A8-C9646712C46C}" r:id="rI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14242DAB-CF65-4202-8276-0FDA9EBBA11E}" r:id="rId6"/>
    <w:embedBold w:fontKey="{6535C880-1B0D-4FEB-BC9C-A8318891F33E}"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A22826C3-4204-419C-B1CB-ED1F6121F8AD}"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0DB9" w:rsidRDefault="00E30DB9" w14:paraId="00000030"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0DB9" w:rsidRDefault="00684C09" w14:paraId="0000002D" w14:textId="35CA954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8A05CA">
      <w:rPr>
        <w:noProof/>
        <w:color w:val="000000"/>
      </w:rPr>
      <w:t>1</w:t>
    </w:r>
    <w:r>
      <w:rPr>
        <w:color w:val="000000"/>
      </w:rPr>
      <w:fldChar w:fldCharType="end"/>
    </w:r>
  </w:p>
  <w:p w:rsidR="00E30DB9" w:rsidRDefault="00E30DB9" w14:paraId="0000002E"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0DB9" w:rsidRDefault="00E30DB9" w14:paraId="0000002F"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2B76" w:rsidRDefault="00602B76" w14:paraId="419B1A48" w14:textId="77777777">
      <w:r>
        <w:separator/>
      </w:r>
    </w:p>
  </w:footnote>
  <w:footnote w:type="continuationSeparator" w:id="0">
    <w:p w:rsidR="00602B76" w:rsidRDefault="00602B76" w14:paraId="6172F81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0DB9" w:rsidRDefault="00E30DB9" w14:paraId="0000002C"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30DB9" w:rsidRDefault="00684C09" w14:paraId="00000028"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36DAD295" wp14:editId="07777777">
          <wp:simplePos x="0" y="0"/>
          <wp:positionH relativeFrom="column">
            <wp:posOffset>4114800</wp:posOffset>
          </wp:positionH>
          <wp:positionV relativeFrom="paragraph">
            <wp:posOffset>-304789</wp:posOffset>
          </wp:positionV>
          <wp:extent cx="1547842" cy="997267"/>
          <wp:effectExtent l="0" t="0" r="0" b="0"/>
          <wp:wrapSquare wrapText="bothSides" distT="114300" distB="11430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E30DB9" w:rsidRDefault="00684C09" w14:paraId="00000029"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E30DB9" w:rsidRDefault="00E30DB9" w14:paraId="0000002A"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0DB9" w:rsidRDefault="00E30DB9" w14:paraId="0000002B"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C5CBF"/>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8286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DB9"/>
    <w:rsid w:val="00052845"/>
    <w:rsid w:val="000634D6"/>
    <w:rsid w:val="00065561"/>
    <w:rsid w:val="00070022"/>
    <w:rsid w:val="00092506"/>
    <w:rsid w:val="00096A06"/>
    <w:rsid w:val="001430B1"/>
    <w:rsid w:val="001D0359"/>
    <w:rsid w:val="00602B76"/>
    <w:rsid w:val="00635498"/>
    <w:rsid w:val="00684C09"/>
    <w:rsid w:val="006D69F9"/>
    <w:rsid w:val="006F5A0F"/>
    <w:rsid w:val="00701CFB"/>
    <w:rsid w:val="007D41E7"/>
    <w:rsid w:val="00853631"/>
    <w:rsid w:val="0086075B"/>
    <w:rsid w:val="00892B43"/>
    <w:rsid w:val="008A05CA"/>
    <w:rsid w:val="009907FC"/>
    <w:rsid w:val="00A574E3"/>
    <w:rsid w:val="00B63004"/>
    <w:rsid w:val="00C337BB"/>
    <w:rsid w:val="00CE4959"/>
    <w:rsid w:val="00DD7C5F"/>
    <w:rsid w:val="00E30DB9"/>
    <w:rsid w:val="00E8130A"/>
    <w:rsid w:val="065F386D"/>
    <w:rsid w:val="13137782"/>
    <w:rsid w:val="15B77FF1"/>
    <w:rsid w:val="1A109321"/>
    <w:rsid w:val="27BB6CDF"/>
    <w:rsid w:val="3592C585"/>
    <w:rsid w:val="3854B905"/>
    <w:rsid w:val="3E4FEA16"/>
    <w:rsid w:val="438CCFC7"/>
    <w:rsid w:val="4B4642EE"/>
    <w:rsid w:val="5C43C085"/>
    <w:rsid w:val="7F99011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A449"/>
  <w15:docId w15:val="{4815835B-D420-43E0-8CEF-7A1BA3ED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Normal00" w:customStyle="1">
    <w:name w:val="Table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01" w:customStyle="1">
    <w:name w:val="Table Normal0"/>
    <w:tblPr>
      <w:tblCellMar>
        <w:top w:w="0" w:type="dxa"/>
        <w:left w:w="0" w:type="dxa"/>
        <w:bottom w:w="0" w:type="dxa"/>
        <w:right w:w="0" w:type="dxa"/>
      </w:tblCellMar>
    </w:tblPr>
  </w:style>
  <w:style w:type="table" w:styleId="TableNormal10" w:customStyle="1">
    <w:name w:val="Table Normal10"/>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F5A0F"/>
  </w:style>
  <w:style w:type="paragraph" w:styleId="Header">
    <w:name w:val="header"/>
    <w:basedOn w:val="Normal"/>
    <w:link w:val="HeaderChar"/>
    <w:uiPriority w:val="99"/>
    <w:semiHidden/>
    <w:unhideWhenUsed/>
    <w:rsid w:val="00701CFB"/>
    <w:pPr>
      <w:tabs>
        <w:tab w:val="center" w:pos="4252"/>
        <w:tab w:val="right" w:pos="8504"/>
      </w:tabs>
    </w:pPr>
  </w:style>
  <w:style w:type="character" w:styleId="HeaderChar" w:customStyle="1">
    <w:name w:val="Header Char"/>
    <w:basedOn w:val="DefaultParagraphFont"/>
    <w:link w:val="Header"/>
    <w:uiPriority w:val="99"/>
    <w:semiHidden/>
    <w:rsid w:val="009907FC"/>
  </w:style>
  <w:style w:type="paragraph" w:styleId="Footer">
    <w:name w:val="footer"/>
    <w:basedOn w:val="Normal"/>
    <w:link w:val="FooterChar"/>
    <w:uiPriority w:val="99"/>
    <w:semiHidden/>
    <w:unhideWhenUsed/>
    <w:rsid w:val="00701CFB"/>
    <w:pPr>
      <w:tabs>
        <w:tab w:val="center" w:pos="4252"/>
        <w:tab w:val="right" w:pos="8504"/>
      </w:tabs>
    </w:pPr>
  </w:style>
  <w:style w:type="character" w:styleId="FooterChar" w:customStyle="1">
    <w:name w:val="Footer Char"/>
    <w:basedOn w:val="DefaultParagraphFont"/>
    <w:link w:val="Footer"/>
    <w:uiPriority w:val="99"/>
    <w:semiHidden/>
    <w:rsid w:val="009907FC"/>
  </w:style>
  <w:style w:type="character" w:styleId="Hyperlink">
    <w:uiPriority w:val="99"/>
    <w:name w:val="Hyperlink"/>
    <w:basedOn w:val="DefaultParagraphFont"/>
    <w:unhideWhenUsed/>
    <w:rsid w:val="3E4FEA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1.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http://www.enac.es"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24"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mailto:evamc@varenga.e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hyperlink" Target="https://european-accreditation.org/launch-of-the-ea-mla-mark-1st-september-2025/" TargetMode="External" Id="Re51b44f4c3f74b18" /><Relationship Type="http://schemas.openxmlformats.org/officeDocument/2006/relationships/hyperlink" Target="https://www.enac.es/" TargetMode="External" Id="R7319f206b6bb445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hIkTZ+TC2sxkYpamb414+SirQ==">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0CB7E-EF8C-49F3-B0BF-EB5FE170A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FFA741E-BC7D-47EA-ABE9-D5E18FA2FE35}">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66018CD0-2246-4CC0-BC35-8838E7BFBFE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Eva Martín</lastModifiedBy>
  <revision>9</revision>
  <dcterms:created xsi:type="dcterms:W3CDTF">2025-09-12T12:31:00.0000000Z</dcterms:created>
  <dcterms:modified xsi:type="dcterms:W3CDTF">2025-09-15T10:09:13.5859547Z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