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ED2E" w14:textId="77777777" w:rsidR="00135FA4" w:rsidRDefault="00135FA4">
      <w:pPr>
        <w:rPr>
          <w:b/>
        </w:rPr>
      </w:pPr>
    </w:p>
    <w:p w14:paraId="299DED2F" w14:textId="77777777" w:rsidR="00135FA4" w:rsidRDefault="00733667" w:rsidP="59B78E73">
      <w:pPr>
        <w:jc w:val="center"/>
        <w:rPr>
          <w:rFonts w:ascii="Roboto" w:eastAsia="Roboto" w:hAnsi="Roboto" w:cs="Roboto"/>
          <w:b/>
          <w:bCs/>
          <w:sz w:val="28"/>
          <w:szCs w:val="28"/>
        </w:rPr>
      </w:pPr>
      <w:r w:rsidRPr="59B78E73">
        <w:rPr>
          <w:rFonts w:ascii="Roboto" w:eastAsia="Roboto" w:hAnsi="Roboto" w:cs="Roboto"/>
          <w:b/>
          <w:bCs/>
          <w:sz w:val="28"/>
          <w:szCs w:val="28"/>
        </w:rPr>
        <w:t>Primeras acreditaciones ENAC para la validación del principio “No causar un perjuicio significativo al medioambiente” (DNSH)</w:t>
      </w:r>
    </w:p>
    <w:p w14:paraId="299DED30" w14:textId="77777777" w:rsidR="00135FA4" w:rsidRPr="00135FA4" w:rsidRDefault="00733667" w:rsidP="13D8C615">
      <w:pPr>
        <w:numPr>
          <w:ilvl w:val="0"/>
          <w:numId w:val="2"/>
        </w:numPr>
        <w:spacing w:after="0" w:line="259" w:lineRule="auto"/>
        <w:ind w:left="1080"/>
        <w:jc w:val="both"/>
        <w:rPr>
          <w:b/>
          <w:bCs/>
        </w:rPr>
      </w:pPr>
      <w:r w:rsidRPr="59B78E73">
        <w:rPr>
          <w:rFonts w:ascii="Roboto" w:eastAsia="Roboto" w:hAnsi="Roboto" w:cs="Roboto"/>
          <w:b/>
          <w:bCs/>
        </w:rPr>
        <w:t xml:space="preserve">La demostración del cumplimiento de este principio </w:t>
      </w:r>
      <w:r w:rsidRPr="59B78E73">
        <w:rPr>
          <w:rFonts w:ascii="Roboto" w:eastAsia="Roboto" w:hAnsi="Roboto" w:cs="Roboto"/>
          <w:b/>
          <w:bCs/>
          <w:color w:val="333333"/>
          <w:highlight w:val="white"/>
        </w:rPr>
        <w:t xml:space="preserve">es una exigencia en la </w:t>
      </w:r>
      <w:r w:rsidRPr="59B78E73">
        <w:rPr>
          <w:rFonts w:ascii="Roboto" w:eastAsia="Roboto" w:hAnsi="Roboto" w:cs="Roboto"/>
          <w:b/>
          <w:bCs/>
        </w:rPr>
        <w:t>gestión de ayudas para proyectos de inversión o reformas en el marco del Mecanismo Europeo de Recuperación y Resiliencia (MRR)</w:t>
      </w:r>
    </w:p>
    <w:p w14:paraId="299DED31" w14:textId="77777777" w:rsidR="00135FA4" w:rsidRDefault="00733667">
      <w:pPr>
        <w:shd w:val="clear" w:color="auto" w:fill="FFFFFF"/>
        <w:spacing w:after="0" w:line="259" w:lineRule="auto"/>
        <w:ind w:left="720"/>
        <w:jc w:val="both"/>
        <w:rPr>
          <w:b/>
        </w:rPr>
      </w:pPr>
      <w:r>
        <w:rPr>
          <w:b/>
        </w:rPr>
        <w:t xml:space="preserve"> </w:t>
      </w:r>
    </w:p>
    <w:p w14:paraId="299DED32" w14:textId="54726BAB" w:rsidR="00135FA4" w:rsidRDefault="00733667" w:rsidP="13D8C615">
      <w:pPr>
        <w:numPr>
          <w:ilvl w:val="0"/>
          <w:numId w:val="1"/>
        </w:numPr>
        <w:spacing w:after="0" w:line="259" w:lineRule="auto"/>
        <w:ind w:left="1080"/>
        <w:jc w:val="both"/>
        <w:rPr>
          <w:b/>
          <w:bCs/>
        </w:rPr>
      </w:pPr>
      <w:r w:rsidRPr="59B78E73">
        <w:rPr>
          <w:rFonts w:ascii="Roboto" w:eastAsia="Roboto" w:hAnsi="Roboto" w:cs="Roboto"/>
          <w:b/>
          <w:bCs/>
        </w:rPr>
        <w:t xml:space="preserve">EQA </w:t>
      </w:r>
      <w:r w:rsidR="0005173D" w:rsidRPr="59B78E73">
        <w:rPr>
          <w:rFonts w:ascii="Roboto" w:eastAsia="Roboto" w:hAnsi="Roboto" w:cs="Roboto"/>
          <w:b/>
          <w:bCs/>
        </w:rPr>
        <w:t xml:space="preserve">y </w:t>
      </w:r>
      <w:r w:rsidRPr="59B78E73">
        <w:rPr>
          <w:rFonts w:ascii="Roboto" w:eastAsia="Roboto" w:hAnsi="Roboto" w:cs="Roboto"/>
          <w:b/>
          <w:bCs/>
        </w:rPr>
        <w:t>ACIE se convierten en las primeras entidades acreditadas por ENAC conforme a la norma UNE-EN ISO/IEC 17029 y de las primeras acreditadas para esta actividad en todo el mundo</w:t>
      </w:r>
    </w:p>
    <w:p w14:paraId="299DED33" w14:textId="77777777" w:rsidR="00135FA4" w:rsidRDefault="00135FA4">
      <w:pPr>
        <w:spacing w:after="0" w:line="259" w:lineRule="auto"/>
        <w:ind w:left="720"/>
        <w:jc w:val="both"/>
        <w:rPr>
          <w:b/>
        </w:rPr>
      </w:pPr>
    </w:p>
    <w:p w14:paraId="299DED34" w14:textId="38F5EA77" w:rsidR="00135FA4" w:rsidRDefault="00733667" w:rsidP="59B78E73">
      <w:pPr>
        <w:jc w:val="both"/>
        <w:rPr>
          <w:rFonts w:ascii="Roboto" w:eastAsia="Roboto" w:hAnsi="Roboto" w:cs="Roboto"/>
          <w:b/>
          <w:bCs/>
          <w:sz w:val="21"/>
          <w:szCs w:val="21"/>
        </w:rPr>
      </w:pPr>
      <w:r w:rsidRPr="59B78E73">
        <w:rPr>
          <w:rFonts w:ascii="Roboto" w:eastAsia="Roboto" w:hAnsi="Roboto" w:cs="Roboto"/>
        </w:rPr>
        <w:t>Madrid, 06</w:t>
      </w:r>
      <w:r w:rsidRPr="59B78E73">
        <w:rPr>
          <w:rFonts w:ascii="Roboto" w:eastAsia="Roboto" w:hAnsi="Roboto" w:cs="Roboto"/>
          <w:color w:val="D91D24"/>
        </w:rPr>
        <w:t xml:space="preserve"> </w:t>
      </w:r>
      <w:r w:rsidRPr="59B78E73">
        <w:rPr>
          <w:rFonts w:ascii="Roboto" w:eastAsia="Roboto" w:hAnsi="Roboto" w:cs="Roboto"/>
        </w:rPr>
        <w:t xml:space="preserve">de mayo de 2022.- La </w:t>
      </w:r>
      <w:hyperlink r:id="rId10" w:history="1">
        <w:r w:rsidRPr="59B78E73">
          <w:rPr>
            <w:rFonts w:ascii="Roboto" w:eastAsia="Roboto" w:hAnsi="Roboto" w:cs="Roboto"/>
          </w:rPr>
          <w:t>Entidad Nacional de Acreditación</w:t>
        </w:r>
      </w:hyperlink>
      <w:r w:rsidRPr="59B78E73">
        <w:rPr>
          <w:rFonts w:ascii="Roboto" w:eastAsia="Roboto" w:hAnsi="Roboto" w:cs="Roboto"/>
        </w:rPr>
        <w:t xml:space="preserve"> (</w:t>
      </w:r>
      <w:r w:rsidRPr="59B78E73">
        <w:rPr>
          <w:rFonts w:ascii="Roboto" w:eastAsia="Roboto" w:hAnsi="Roboto" w:cs="Roboto"/>
          <w:sz w:val="21"/>
          <w:szCs w:val="21"/>
        </w:rPr>
        <w:t xml:space="preserve">ENAC) ha concedido a </w:t>
      </w:r>
      <w:hyperlink r:id="rId11">
        <w:proofErr w:type="spellStart"/>
        <w:r w:rsidRPr="59B78E73">
          <w:rPr>
            <w:rFonts w:ascii="Roboto" w:eastAsia="Roboto" w:hAnsi="Roboto" w:cs="Roboto"/>
            <w:sz w:val="21"/>
            <w:szCs w:val="21"/>
            <w:u w:val="single"/>
          </w:rPr>
          <w:t>European</w:t>
        </w:r>
        <w:proofErr w:type="spellEnd"/>
        <w:r w:rsidRPr="59B78E73">
          <w:rPr>
            <w:rFonts w:ascii="Roboto" w:eastAsia="Roboto" w:hAnsi="Roboto" w:cs="Roboto"/>
            <w:sz w:val="21"/>
            <w:szCs w:val="21"/>
            <w:u w:val="single"/>
          </w:rPr>
          <w:t xml:space="preserve"> </w:t>
        </w:r>
        <w:proofErr w:type="spellStart"/>
        <w:r w:rsidRPr="59B78E73">
          <w:rPr>
            <w:rFonts w:ascii="Roboto" w:eastAsia="Roboto" w:hAnsi="Roboto" w:cs="Roboto"/>
            <w:sz w:val="21"/>
            <w:szCs w:val="21"/>
            <w:u w:val="single"/>
          </w:rPr>
          <w:t>Quality</w:t>
        </w:r>
        <w:proofErr w:type="spellEnd"/>
        <w:r w:rsidRPr="59B78E73">
          <w:rPr>
            <w:rFonts w:ascii="Roboto" w:eastAsia="Roboto" w:hAnsi="Roboto" w:cs="Roboto"/>
            <w:sz w:val="21"/>
            <w:szCs w:val="21"/>
            <w:u w:val="single"/>
          </w:rPr>
          <w:t xml:space="preserve"> </w:t>
        </w:r>
        <w:proofErr w:type="spellStart"/>
        <w:r w:rsidRPr="59B78E73">
          <w:rPr>
            <w:rFonts w:ascii="Roboto" w:eastAsia="Roboto" w:hAnsi="Roboto" w:cs="Roboto"/>
            <w:sz w:val="21"/>
            <w:szCs w:val="21"/>
            <w:u w:val="single"/>
          </w:rPr>
          <w:t>Assurance</w:t>
        </w:r>
        <w:proofErr w:type="spellEnd"/>
        <w:r w:rsidRPr="59B78E73">
          <w:rPr>
            <w:rFonts w:ascii="Roboto" w:eastAsia="Roboto" w:hAnsi="Roboto" w:cs="Roboto"/>
            <w:sz w:val="21"/>
            <w:szCs w:val="21"/>
            <w:u w:val="single"/>
          </w:rPr>
          <w:t xml:space="preserve"> </w:t>
        </w:r>
        <w:proofErr w:type="spellStart"/>
        <w:r w:rsidRPr="59B78E73">
          <w:rPr>
            <w:rFonts w:ascii="Roboto" w:eastAsia="Roboto" w:hAnsi="Roboto" w:cs="Roboto"/>
            <w:sz w:val="21"/>
            <w:szCs w:val="21"/>
            <w:u w:val="single"/>
          </w:rPr>
          <w:t>Spain</w:t>
        </w:r>
        <w:proofErr w:type="spellEnd"/>
      </w:hyperlink>
      <w:r w:rsidRPr="59B78E73">
        <w:rPr>
          <w:rFonts w:ascii="Roboto" w:eastAsia="Roboto" w:hAnsi="Roboto" w:cs="Roboto"/>
          <w:sz w:val="21"/>
          <w:szCs w:val="21"/>
        </w:rPr>
        <w:t xml:space="preserve"> (EQA) y a la </w:t>
      </w:r>
      <w:hyperlink r:id="rId12">
        <w:r w:rsidRPr="59B78E73">
          <w:rPr>
            <w:rFonts w:ascii="Roboto" w:eastAsia="Roboto" w:hAnsi="Roboto" w:cs="Roboto"/>
            <w:sz w:val="21"/>
            <w:szCs w:val="21"/>
            <w:u w:val="single"/>
          </w:rPr>
          <w:t>Agencia de Certificación Española</w:t>
        </w:r>
      </w:hyperlink>
      <w:r w:rsidRPr="59B78E73">
        <w:rPr>
          <w:rFonts w:ascii="Roboto" w:eastAsia="Roboto" w:hAnsi="Roboto" w:cs="Roboto"/>
          <w:sz w:val="21"/>
          <w:szCs w:val="21"/>
        </w:rPr>
        <w:t xml:space="preserve"> (ACIE) las </w:t>
      </w:r>
      <w:r w:rsidRPr="59B78E73">
        <w:rPr>
          <w:rFonts w:ascii="Roboto" w:eastAsia="Roboto" w:hAnsi="Roboto" w:cs="Roboto"/>
          <w:b/>
          <w:bCs/>
          <w:sz w:val="21"/>
          <w:szCs w:val="21"/>
        </w:rPr>
        <w:t>primeras acreditaciones para la validación de la autoevaluación con respecto al principio de no causar un perjuicio significativo al medioambiente</w:t>
      </w:r>
      <w:r w:rsidRPr="59B78E73">
        <w:rPr>
          <w:rFonts w:ascii="Roboto" w:eastAsia="Roboto" w:hAnsi="Roboto" w:cs="Roboto"/>
          <w:sz w:val="21"/>
          <w:szCs w:val="21"/>
        </w:rPr>
        <w:t xml:space="preserve"> (o principio DNSH, “do </w:t>
      </w:r>
      <w:proofErr w:type="spellStart"/>
      <w:r w:rsidRPr="59B78E73">
        <w:rPr>
          <w:rFonts w:ascii="Roboto" w:eastAsia="Roboto" w:hAnsi="Roboto" w:cs="Roboto"/>
          <w:sz w:val="21"/>
          <w:szCs w:val="21"/>
        </w:rPr>
        <w:t>not</w:t>
      </w:r>
      <w:proofErr w:type="spellEnd"/>
      <w:r w:rsidRPr="59B78E73">
        <w:rPr>
          <w:rFonts w:ascii="Roboto" w:eastAsia="Roboto" w:hAnsi="Roboto" w:cs="Roboto"/>
          <w:sz w:val="21"/>
          <w:szCs w:val="21"/>
        </w:rPr>
        <w:t xml:space="preserve"> cause </w:t>
      </w:r>
      <w:proofErr w:type="spellStart"/>
      <w:r w:rsidRPr="59B78E73">
        <w:rPr>
          <w:rFonts w:ascii="Roboto" w:eastAsia="Roboto" w:hAnsi="Roboto" w:cs="Roboto"/>
          <w:sz w:val="21"/>
          <w:szCs w:val="21"/>
        </w:rPr>
        <w:t>significant</w:t>
      </w:r>
      <w:proofErr w:type="spellEnd"/>
      <w:r w:rsidRPr="59B78E73"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 w:rsidRPr="59B78E73">
        <w:rPr>
          <w:rFonts w:ascii="Roboto" w:eastAsia="Roboto" w:hAnsi="Roboto" w:cs="Roboto"/>
          <w:sz w:val="21"/>
          <w:szCs w:val="21"/>
        </w:rPr>
        <w:t>harm</w:t>
      </w:r>
      <w:proofErr w:type="spellEnd"/>
      <w:r w:rsidRPr="59B78E73">
        <w:rPr>
          <w:rFonts w:ascii="Roboto" w:eastAsia="Roboto" w:hAnsi="Roboto" w:cs="Roboto"/>
          <w:sz w:val="21"/>
          <w:szCs w:val="21"/>
        </w:rPr>
        <w:t xml:space="preserve">” por sus siglas en inglés) </w:t>
      </w:r>
      <w:r w:rsidRPr="59B78E73">
        <w:rPr>
          <w:rFonts w:ascii="Roboto" w:eastAsia="Roboto" w:hAnsi="Roboto" w:cs="Roboto"/>
          <w:b/>
          <w:bCs/>
          <w:sz w:val="21"/>
          <w:szCs w:val="21"/>
        </w:rPr>
        <w:t>exigido en la gestión de ayudas para proyectos de inversión o reformas en el marco del Mecanismo Europeo de Recuperación y Resiliencia (MRR)</w:t>
      </w:r>
      <w:r w:rsidRPr="59B78E73">
        <w:rPr>
          <w:rFonts w:ascii="Roboto" w:eastAsia="Roboto" w:hAnsi="Roboto" w:cs="Roboto"/>
          <w:sz w:val="21"/>
          <w:szCs w:val="21"/>
        </w:rPr>
        <w:t>. Asimismo, se trata de las primeras acreditaciones conforme a la norma UNE-EN ISO/IEC 17029 emitidas por ENAC y</w:t>
      </w:r>
      <w:r w:rsidRPr="59B78E73">
        <w:rPr>
          <w:rFonts w:ascii="Roboto" w:eastAsia="Roboto" w:hAnsi="Roboto" w:cs="Roboto"/>
          <w:b/>
          <w:bCs/>
          <w:sz w:val="21"/>
          <w:szCs w:val="21"/>
        </w:rPr>
        <w:t xml:space="preserve"> unas de las primeras acreditaciones para esta actividad emitidas en todo el mundo.</w:t>
      </w:r>
    </w:p>
    <w:p w14:paraId="299DED35" w14:textId="77777777" w:rsidR="00135FA4" w:rsidRDefault="00733667">
      <w:pPr>
        <w:spacing w:after="160"/>
        <w:jc w:val="both"/>
        <w:rPr>
          <w:rFonts w:ascii="Roboto" w:eastAsia="Roboto" w:hAnsi="Roboto" w:cs="Roboto"/>
          <w:sz w:val="21"/>
          <w:szCs w:val="21"/>
          <w:u w:val="single"/>
        </w:rPr>
      </w:pPr>
      <w:r>
        <w:rPr>
          <w:rFonts w:ascii="Roboto" w:eastAsia="Roboto" w:hAnsi="Roboto" w:cs="Roboto"/>
          <w:sz w:val="21"/>
          <w:szCs w:val="21"/>
        </w:rPr>
        <w:t xml:space="preserve">La importancia de estas acreditaciones radica en que, en aplicación de la legislación europea, todas las reformas o inversiones que se ejecuten en el marco del </w:t>
      </w:r>
      <w:hyperlink r:id="rId13">
        <w:r>
          <w:rPr>
            <w:rFonts w:ascii="Roboto" w:eastAsia="Roboto" w:hAnsi="Roboto" w:cs="Roboto"/>
            <w:sz w:val="21"/>
            <w:szCs w:val="21"/>
            <w:u w:val="single"/>
          </w:rPr>
          <w:t>Plan Nacional de Recuperación, Transformación y Resiliencia (PRTR)</w:t>
        </w:r>
      </w:hyperlink>
      <w:r>
        <w:rPr>
          <w:rFonts w:ascii="Roboto" w:eastAsia="Roboto" w:hAnsi="Roboto" w:cs="Roboto"/>
          <w:sz w:val="21"/>
          <w:szCs w:val="21"/>
        </w:rPr>
        <w:t xml:space="preserve">, deben demostrar el cumplimiento con el principio DNSH recogido en el </w:t>
      </w:r>
      <w:hyperlink r:id="rId14">
        <w:r>
          <w:rPr>
            <w:rFonts w:ascii="Roboto" w:eastAsia="Roboto" w:hAnsi="Roboto" w:cs="Roboto"/>
            <w:sz w:val="21"/>
            <w:szCs w:val="21"/>
            <w:u w:val="single"/>
          </w:rPr>
          <w:t>Reglamento (UE) 2020/852.</w:t>
        </w:r>
      </w:hyperlink>
    </w:p>
    <w:p w14:paraId="299DED36" w14:textId="77777777" w:rsidR="00135FA4" w:rsidRDefault="00733667">
      <w:pPr>
        <w:spacing w:after="160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Para ello, los solicitantes de ayudas deben realizar una autoevaluación del cumplimiento de dicho principio para las inversiones y proyectos susceptibles de recibir financiación pública. La Administración otorgante podrá exigir que dicha autoevaluación vaya acompañada de un dictamen de validación externa, que confirme las conclusiones de la autoevaluación y garantice que estas tienen una base técnica sólida, son razonables y están suficiente y apropiadamente justificadas.</w:t>
      </w:r>
    </w:p>
    <w:p w14:paraId="299DED37" w14:textId="77777777" w:rsidR="00135FA4" w:rsidRDefault="00733667">
      <w:pPr>
        <w:spacing w:after="160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Dichas validaciones deben ser realizadas por organizaciones que dispongan de la adecuada independencia y competencia técnica para que la administración pueda confiar en el resultado de su trabajo, y es aquí donde la acreditación vuelve a demostrar ser una herramienta de gran utilidad para las administraciones públicas.</w:t>
      </w:r>
    </w:p>
    <w:p w14:paraId="299DED38" w14:textId="77777777" w:rsidR="00135FA4" w:rsidRDefault="00733667">
      <w:pPr>
        <w:spacing w:after="160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Al </w:t>
      </w:r>
      <w:r>
        <w:rPr>
          <w:rFonts w:ascii="Roboto" w:eastAsia="Roboto" w:hAnsi="Roboto" w:cs="Roboto"/>
          <w:b/>
          <w:sz w:val="21"/>
          <w:szCs w:val="21"/>
        </w:rPr>
        <w:t>requerir validación acreditada, las administraciones disminuyen sensiblemente los riesgos asociados a la fiabilidad de los validadores,</w:t>
      </w:r>
      <w:r>
        <w:rPr>
          <w:rFonts w:ascii="Roboto" w:eastAsia="Roboto" w:hAnsi="Roboto" w:cs="Roboto"/>
          <w:sz w:val="21"/>
          <w:szCs w:val="21"/>
        </w:rPr>
        <w:t xml:space="preserve"> ya que saben que al estar acreditados operan </w:t>
      </w:r>
      <w:proofErr w:type="gramStart"/>
      <w:r>
        <w:rPr>
          <w:rFonts w:ascii="Roboto" w:eastAsia="Roboto" w:hAnsi="Roboto" w:cs="Roboto"/>
          <w:sz w:val="21"/>
          <w:szCs w:val="21"/>
        </w:rPr>
        <w:t>de acuerdo a</w:t>
      </w:r>
      <w:proofErr w:type="gramEnd"/>
      <w:r>
        <w:rPr>
          <w:rFonts w:ascii="Roboto" w:eastAsia="Roboto" w:hAnsi="Roboto" w:cs="Roboto"/>
          <w:sz w:val="21"/>
          <w:szCs w:val="21"/>
        </w:rPr>
        <w:t xml:space="preserve"> normas internacionales y bajo la evaluación y vigilancia de ENAC.</w:t>
      </w:r>
    </w:p>
    <w:p w14:paraId="299DED39" w14:textId="77777777" w:rsidR="00135FA4" w:rsidRDefault="00135FA4">
      <w:pPr>
        <w:spacing w:after="160"/>
        <w:jc w:val="both"/>
        <w:rPr>
          <w:rFonts w:ascii="Roboto" w:eastAsia="Roboto" w:hAnsi="Roboto" w:cs="Roboto"/>
          <w:b/>
          <w:sz w:val="21"/>
          <w:szCs w:val="21"/>
        </w:rPr>
      </w:pPr>
    </w:p>
    <w:p w14:paraId="299DED3A" w14:textId="77777777" w:rsidR="00135FA4" w:rsidRDefault="00135FA4">
      <w:pPr>
        <w:spacing w:after="160"/>
        <w:jc w:val="both"/>
        <w:rPr>
          <w:rFonts w:ascii="Roboto" w:eastAsia="Roboto" w:hAnsi="Roboto" w:cs="Roboto"/>
          <w:b/>
          <w:sz w:val="21"/>
          <w:szCs w:val="21"/>
        </w:rPr>
      </w:pPr>
    </w:p>
    <w:p w14:paraId="299DED3B" w14:textId="77777777" w:rsidR="00135FA4" w:rsidRDefault="00135FA4">
      <w:pPr>
        <w:spacing w:after="160"/>
        <w:jc w:val="both"/>
        <w:rPr>
          <w:rFonts w:ascii="Roboto" w:eastAsia="Roboto" w:hAnsi="Roboto" w:cs="Roboto"/>
          <w:b/>
          <w:sz w:val="21"/>
          <w:szCs w:val="21"/>
        </w:rPr>
      </w:pPr>
    </w:p>
    <w:p w14:paraId="299DED3C" w14:textId="77777777" w:rsidR="00135FA4" w:rsidRDefault="00135FA4">
      <w:pPr>
        <w:spacing w:after="160"/>
        <w:jc w:val="both"/>
        <w:rPr>
          <w:rFonts w:ascii="Roboto" w:eastAsia="Roboto" w:hAnsi="Roboto" w:cs="Roboto"/>
          <w:b/>
          <w:sz w:val="21"/>
          <w:szCs w:val="21"/>
        </w:rPr>
      </w:pPr>
    </w:p>
    <w:p w14:paraId="7F9F68EA" w14:textId="77777777" w:rsidR="00F2219F" w:rsidRDefault="00F2219F">
      <w:pPr>
        <w:spacing w:after="160"/>
        <w:jc w:val="both"/>
        <w:rPr>
          <w:rFonts w:ascii="Roboto" w:eastAsia="Roboto" w:hAnsi="Roboto" w:cs="Roboto"/>
          <w:b/>
          <w:sz w:val="21"/>
          <w:szCs w:val="21"/>
        </w:rPr>
      </w:pPr>
    </w:p>
    <w:p w14:paraId="299DED3D" w14:textId="52A0D886" w:rsidR="00135FA4" w:rsidRDefault="00733667">
      <w:pPr>
        <w:spacing w:after="160"/>
        <w:jc w:val="both"/>
        <w:rPr>
          <w:rFonts w:ascii="Roboto" w:eastAsia="Roboto" w:hAnsi="Roboto" w:cs="Roboto"/>
          <w:b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>¿Por qué confiar en la validación acreditada?</w:t>
      </w:r>
    </w:p>
    <w:p w14:paraId="299DED3E" w14:textId="77777777" w:rsidR="00135FA4" w:rsidRDefault="00733667">
      <w:pPr>
        <w:spacing w:after="160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La norma UNE-EN ISO/IEC 17029 contiene los requisitos y principios generales para la competencia, imparcialidad y funcionamiento de los organismos que realizan la validación y verificación en cualquier sector, área o ámbito de actividad, junto con la ISO/IEC 14065, que proporciona una base para evaluar y reconocer la competencia de los organismos de validación de información de carácter ambiental.</w:t>
      </w:r>
    </w:p>
    <w:p w14:paraId="299DED3F" w14:textId="77777777" w:rsidR="00135FA4" w:rsidRDefault="00733667">
      <w:pPr>
        <w:spacing w:after="160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La acreditación por parte de ENAC atestigua que la entidad acreditada dispone de procesos de evaluación y decisión fiables y que son realizados por personal competente e imparcial, con capacidad técnica de evaluar la declaración del titular sobre su cumplimiento del principio DNSH, proporcionando confianza y aseguramiento a la administración y a otras partes interesadas.</w:t>
      </w:r>
    </w:p>
    <w:p w14:paraId="299DED40" w14:textId="09E8B28D" w:rsidR="00135FA4" w:rsidRDefault="00135FA4">
      <w:pPr>
        <w:spacing w:after="160"/>
        <w:jc w:val="both"/>
        <w:rPr>
          <w:rFonts w:ascii="Roboto" w:eastAsia="Roboto" w:hAnsi="Roboto" w:cs="Roboto"/>
          <w:sz w:val="21"/>
          <w:szCs w:val="21"/>
        </w:rPr>
      </w:pPr>
    </w:p>
    <w:p w14:paraId="299DED41" w14:textId="77777777" w:rsidR="00135FA4" w:rsidRDefault="00135FA4">
      <w:pPr>
        <w:widowControl w:val="0"/>
        <w:spacing w:after="0" w:line="240" w:lineRule="auto"/>
        <w:jc w:val="both"/>
        <w:rPr>
          <w:b/>
          <w:u w:val="single"/>
        </w:rPr>
      </w:pPr>
    </w:p>
    <w:p w14:paraId="299DED42" w14:textId="77777777" w:rsidR="00135FA4" w:rsidRDefault="00733667">
      <w:pPr>
        <w:widowControl w:val="0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Sobre ENAC </w:t>
      </w:r>
    </w:p>
    <w:p w14:paraId="299DED43" w14:textId="77777777" w:rsidR="00135FA4" w:rsidRDefault="00135FA4">
      <w:pPr>
        <w:widowControl w:val="0"/>
        <w:spacing w:after="0" w:line="240" w:lineRule="auto"/>
      </w:pPr>
    </w:p>
    <w:p w14:paraId="299DED44" w14:textId="77777777" w:rsidR="00135FA4" w:rsidRDefault="00733667">
      <w:pPr>
        <w:spacing w:after="0" w:line="240" w:lineRule="auto"/>
        <w:jc w:val="both"/>
      </w:pPr>
      <w:r>
        <w:t xml:space="preserve">La Entidad Nacional de Acreditación – ENAC – es la entidad designada por el Gobierno para operar en España como el único Organismo Nacional de Acreditación, en aplicación del Reglamento (CE) </w:t>
      </w:r>
      <w:proofErr w:type="spellStart"/>
      <w:r>
        <w:t>nº</w:t>
      </w:r>
      <w:proofErr w:type="spellEnd"/>
      <w:r>
        <w:t xml:space="preserve"> 765/2008 del Parlamento Europeo que regula el funcionamiento de la acreditación en Europa.</w:t>
      </w:r>
    </w:p>
    <w:p w14:paraId="299DED45" w14:textId="77777777" w:rsidR="00135FA4" w:rsidRDefault="00733667">
      <w:pPr>
        <w:spacing w:after="0" w:line="240" w:lineRule="auto"/>
        <w:jc w:val="both"/>
      </w:pPr>
      <w:r>
        <w:rPr>
          <w:color w:val="1F497D"/>
        </w:rPr>
        <w:t> </w:t>
      </w:r>
    </w:p>
    <w:p w14:paraId="299DED46" w14:textId="77777777" w:rsidR="00135FA4" w:rsidRDefault="00733667">
      <w:pPr>
        <w:spacing w:after="0" w:line="240" w:lineRule="auto"/>
        <w:jc w:val="both"/>
      </w:pPr>
      <w:r>
        <w:t>ENAC tiene como misión generar confianza en el mercado y en la sociedad evaluando, a través de un sistema conforme a normas internacionales, la competencia técnica de laboratorios de ensayo o calibración, entidades de inspección, entidades de certificación,  verificadores medioambientales y verificadores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299DED47" w14:textId="77777777" w:rsidR="00135FA4" w:rsidRDefault="00733667">
      <w:pPr>
        <w:spacing w:after="0" w:line="240" w:lineRule="auto"/>
        <w:jc w:val="both"/>
      </w:pPr>
      <w:r>
        <w:t> </w:t>
      </w:r>
    </w:p>
    <w:p w14:paraId="299DED48" w14:textId="77777777" w:rsidR="00135FA4" w:rsidRDefault="00733667">
      <w:pPr>
        <w:spacing w:after="0" w:line="240" w:lineRule="auto"/>
        <w:jc w:val="both"/>
      </w:pPr>
      <w: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299DED49" w14:textId="77777777" w:rsidR="00135FA4" w:rsidRDefault="00135FA4">
      <w:pPr>
        <w:spacing w:after="0" w:line="240" w:lineRule="auto"/>
      </w:pPr>
    </w:p>
    <w:p w14:paraId="299DED4A" w14:textId="77777777" w:rsidR="00135FA4" w:rsidRDefault="00536ED8">
      <w:pPr>
        <w:spacing w:after="0" w:line="240" w:lineRule="auto"/>
      </w:pPr>
      <w:hyperlink r:id="rId15">
        <w:r w:rsidR="00733667">
          <w:rPr>
            <w:color w:val="0000FF"/>
            <w:u w:val="single"/>
          </w:rPr>
          <w:t>www.enac.es</w:t>
        </w:r>
      </w:hyperlink>
      <w:r w:rsidR="00733667">
        <w:t xml:space="preserve"> </w:t>
      </w:r>
    </w:p>
    <w:p w14:paraId="299DED4B" w14:textId="77777777" w:rsidR="00135FA4" w:rsidRDefault="0073366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99DED51" wp14:editId="299DED52">
            <wp:simplePos x="0" y="0"/>
            <wp:positionH relativeFrom="column">
              <wp:posOffset>3814</wp:posOffset>
            </wp:positionH>
            <wp:positionV relativeFrom="paragraph">
              <wp:posOffset>118110</wp:posOffset>
            </wp:positionV>
            <wp:extent cx="221615" cy="181610"/>
            <wp:effectExtent l="0" t="0" r="0" b="0"/>
            <wp:wrapSquare wrapText="bothSides" distT="0" distB="0" distL="114300" distR="114300"/>
            <wp:docPr id="1" name="image3.png" descr="Resultado de imagen de icono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sultado de imagen de icono twitter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99DED53" wp14:editId="299DED54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0" b="0"/>
            <wp:wrapSquare wrapText="bothSides" distT="0" distB="0" distL="114300" distR="114300"/>
            <wp:docPr id="3" name="image2.png" descr="Resultado de imagen de icono linked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n de icono linkedin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9DED4C" w14:textId="77777777" w:rsidR="00135FA4" w:rsidRDefault="00135FA4">
      <w:pPr>
        <w:spacing w:after="0" w:line="240" w:lineRule="auto"/>
      </w:pPr>
    </w:p>
    <w:p w14:paraId="299DED4D" w14:textId="77777777" w:rsidR="00135FA4" w:rsidRDefault="00733667">
      <w:pPr>
        <w:spacing w:after="0" w:line="240" w:lineRule="auto"/>
      </w:pPr>
      <w:r>
        <w:t>Para más información sobre la nota de prensa, resolver dudas o gestionar entrevistas</w:t>
      </w:r>
    </w:p>
    <w:p w14:paraId="299DED4E" w14:textId="77777777" w:rsidR="00135FA4" w:rsidRDefault="00733667">
      <w:pPr>
        <w:spacing w:after="0" w:line="240" w:lineRule="auto"/>
      </w:pPr>
      <w:r>
        <w:t>Eva Martín</w:t>
      </w:r>
    </w:p>
    <w:p w14:paraId="299DED4F" w14:textId="77777777" w:rsidR="00135FA4" w:rsidRDefault="00733667">
      <w:pPr>
        <w:spacing w:after="0" w:line="240" w:lineRule="auto"/>
      </w:pPr>
      <w:r>
        <w:t xml:space="preserve">Tfno. 628 17 49 01 /  </w:t>
      </w:r>
      <w:hyperlink r:id="rId18">
        <w:r>
          <w:rPr>
            <w:color w:val="0000FF"/>
            <w:u w:val="single"/>
          </w:rPr>
          <w:t>evamc@varenga.es</w:t>
        </w:r>
      </w:hyperlink>
    </w:p>
    <w:p w14:paraId="299DED50" w14:textId="77777777" w:rsidR="00135FA4" w:rsidRDefault="00135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  <w:bookmarkStart w:id="0" w:name="_gjdgxs" w:colFirst="0" w:colLast="0"/>
      <w:bookmarkEnd w:id="0"/>
    </w:p>
    <w:sectPr w:rsidR="00135FA4">
      <w:headerReference w:type="default" r:id="rId19"/>
      <w:footerReference w:type="defaul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2883" w14:textId="77777777" w:rsidR="00536ED8" w:rsidRDefault="00536ED8">
      <w:pPr>
        <w:spacing w:after="0" w:line="240" w:lineRule="auto"/>
      </w:pPr>
      <w:r>
        <w:separator/>
      </w:r>
    </w:p>
  </w:endnote>
  <w:endnote w:type="continuationSeparator" w:id="0">
    <w:p w14:paraId="0707E134" w14:textId="77777777" w:rsidR="00536ED8" w:rsidRDefault="0053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ED56" w14:textId="3C1B0702" w:rsidR="00135FA4" w:rsidRDefault="007336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5173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956E" w14:textId="77777777" w:rsidR="00536ED8" w:rsidRDefault="00536ED8">
      <w:pPr>
        <w:spacing w:after="0" w:line="240" w:lineRule="auto"/>
      </w:pPr>
      <w:r>
        <w:separator/>
      </w:r>
    </w:p>
  </w:footnote>
  <w:footnote w:type="continuationSeparator" w:id="0">
    <w:p w14:paraId="60C1EDB8" w14:textId="77777777" w:rsidR="00536ED8" w:rsidRDefault="0053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ED55" w14:textId="77777777" w:rsidR="00135FA4" w:rsidRDefault="007336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40"/>
        <w:szCs w:val="40"/>
      </w:rPr>
    </w:pPr>
    <w:r>
      <w:rPr>
        <w:b/>
        <w:color w:val="000000"/>
        <w:sz w:val="40"/>
        <w:szCs w:val="40"/>
      </w:rPr>
      <w:t>NOTA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99DED57" wp14:editId="299DED58">
          <wp:simplePos x="0" y="0"/>
          <wp:positionH relativeFrom="column">
            <wp:posOffset>4530090</wp:posOffset>
          </wp:positionH>
          <wp:positionV relativeFrom="paragraph">
            <wp:posOffset>-297178</wp:posOffset>
          </wp:positionV>
          <wp:extent cx="1324610" cy="73342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2A52"/>
    <w:multiLevelType w:val="multilevel"/>
    <w:tmpl w:val="9D4873D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A075CC"/>
    <w:multiLevelType w:val="multilevel"/>
    <w:tmpl w:val="E2EE5B0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13752903">
    <w:abstractNumId w:val="1"/>
  </w:num>
  <w:num w:numId="2" w16cid:durableId="28917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A4"/>
    <w:rsid w:val="0005173D"/>
    <w:rsid w:val="000628D5"/>
    <w:rsid w:val="00135FA4"/>
    <w:rsid w:val="00536ED8"/>
    <w:rsid w:val="00733667"/>
    <w:rsid w:val="007F6853"/>
    <w:rsid w:val="00F2219F"/>
    <w:rsid w:val="13D8C615"/>
    <w:rsid w:val="59B78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ED2E"/>
  <w15:docId w15:val="{1A09E700-3D49-4A03-B065-3D301D04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051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nderecuperacion.gob.es/" TargetMode="External"/><Relationship Id="rId18" Type="http://schemas.openxmlformats.org/officeDocument/2006/relationships/hyperlink" Target="mailto:evamc@varenga.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acie.es/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qa.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ac.es" TargetMode="External"/><Relationship Id="rId10" Type="http://schemas.openxmlformats.org/officeDocument/2006/relationships/hyperlink" Target="https://www.enac.es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-lex.europa.eu/legal-content/ES/TXT/PDF/?uri=CELEX:32020R085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F7CD3DC2-FEDF-4EAB-BF63-63233C024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75A9D-6527-45CF-BE2B-EB38E8EEA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27F7A-5475-46F9-901D-C5EC9DDA91D0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Denise Diaz Pozo</cp:lastModifiedBy>
  <cp:revision>5</cp:revision>
  <dcterms:created xsi:type="dcterms:W3CDTF">2022-05-05T14:09:00Z</dcterms:created>
  <dcterms:modified xsi:type="dcterms:W3CDTF">2022-05-13T08:11:00Z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