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90A1" w14:textId="77777777" w:rsidR="001E2DF8" w:rsidRDefault="001E2DF8">
      <w:pPr>
        <w:jc w:val="both"/>
        <w:rPr>
          <w:rFonts w:ascii="Roboto" w:eastAsia="Roboto" w:hAnsi="Roboto" w:cs="Roboto"/>
          <w:b/>
          <w:sz w:val="32"/>
          <w:szCs w:val="32"/>
        </w:rPr>
      </w:pPr>
    </w:p>
    <w:p w14:paraId="584D90A2" w14:textId="77777777" w:rsidR="001E2DF8" w:rsidRDefault="005F3EE6">
      <w:pPr>
        <w:pBdr>
          <w:top w:val="none" w:sz="0" w:space="3" w:color="000000"/>
          <w:bottom w:val="none" w:sz="0" w:space="3" w:color="000000"/>
          <w:between w:val="none" w:sz="0" w:space="3" w:color="000000"/>
        </w:pBdr>
        <w:shd w:val="clear" w:color="auto" w:fill="FFFFFF"/>
        <w:spacing w:line="360" w:lineRule="auto"/>
        <w:rPr>
          <w:rFonts w:ascii="Roboto" w:eastAsia="Roboto" w:hAnsi="Roboto" w:cs="Roboto"/>
          <w:b/>
          <w:sz w:val="20"/>
          <w:szCs w:val="20"/>
          <w:u w:val="single"/>
        </w:rPr>
      </w:pPr>
      <w:r>
        <w:rPr>
          <w:rFonts w:ascii="Roboto" w:eastAsia="Roboto" w:hAnsi="Roboto" w:cs="Roboto"/>
          <w:b/>
          <w:sz w:val="20"/>
          <w:szCs w:val="20"/>
          <w:u w:val="single"/>
        </w:rPr>
        <w:t>Día Mundial de las Telecomunicaciones y de la Sociedad de la Información</w:t>
      </w:r>
    </w:p>
    <w:p w14:paraId="584D90A3" w14:textId="77777777" w:rsidR="001E2DF8" w:rsidRDefault="001E2DF8">
      <w:pPr>
        <w:jc w:val="center"/>
        <w:rPr>
          <w:rFonts w:ascii="Roboto" w:eastAsia="Roboto" w:hAnsi="Roboto" w:cs="Roboto"/>
          <w:b/>
          <w:color w:val="333333"/>
          <w:sz w:val="34"/>
          <w:szCs w:val="34"/>
        </w:rPr>
      </w:pPr>
    </w:p>
    <w:p w14:paraId="584D90A4" w14:textId="2C9A1DFE" w:rsidR="001E2DF8" w:rsidRDefault="00DF15B8" w:rsidP="134891BB">
      <w:pPr>
        <w:jc w:val="center"/>
        <w:rPr>
          <w:rFonts w:ascii="Roboto" w:eastAsia="Roboto" w:hAnsi="Roboto" w:cs="Roboto"/>
          <w:b/>
          <w:bCs/>
          <w:strike/>
          <w:color w:val="333333"/>
          <w:sz w:val="34"/>
          <w:szCs w:val="34"/>
        </w:rPr>
      </w:pPr>
      <w:r w:rsidRPr="3EF07212">
        <w:rPr>
          <w:rFonts w:ascii="Roboto" w:eastAsia="Roboto" w:hAnsi="Roboto" w:cs="Roboto"/>
          <w:b/>
          <w:bCs/>
          <w:color w:val="333333"/>
          <w:sz w:val="34"/>
          <w:szCs w:val="34"/>
        </w:rPr>
        <w:t>50</w:t>
      </w:r>
      <w:r w:rsidR="00A17F74" w:rsidRPr="3EF07212">
        <w:rPr>
          <w:rFonts w:ascii="Roboto" w:eastAsia="Roboto" w:hAnsi="Roboto" w:cs="Roboto"/>
          <w:b/>
          <w:bCs/>
          <w:color w:val="333333"/>
          <w:sz w:val="34"/>
          <w:szCs w:val="34"/>
        </w:rPr>
        <w:t xml:space="preserve"> </w:t>
      </w:r>
      <w:r w:rsidR="005F3EE6" w:rsidRPr="3EF07212">
        <w:rPr>
          <w:rFonts w:ascii="Roboto" w:eastAsia="Roboto" w:hAnsi="Roboto" w:cs="Roboto"/>
          <w:b/>
          <w:bCs/>
          <w:color w:val="333333"/>
          <w:sz w:val="34"/>
          <w:szCs w:val="34"/>
        </w:rPr>
        <w:t xml:space="preserve">servicios acreditados por ENAC aportan confianza y fiabilidad </w:t>
      </w:r>
      <w:r w:rsidR="00A17F74" w:rsidRPr="3EF07212">
        <w:rPr>
          <w:rFonts w:ascii="Roboto" w:eastAsia="Roboto" w:hAnsi="Roboto" w:cs="Roboto"/>
          <w:b/>
          <w:bCs/>
          <w:color w:val="333333"/>
          <w:sz w:val="34"/>
          <w:szCs w:val="34"/>
        </w:rPr>
        <w:t xml:space="preserve">para la </w:t>
      </w:r>
      <w:r w:rsidR="005F3EE6" w:rsidRPr="3EF07212">
        <w:rPr>
          <w:rFonts w:ascii="Roboto" w:eastAsia="Roboto" w:hAnsi="Roboto" w:cs="Roboto"/>
          <w:b/>
          <w:bCs/>
          <w:color w:val="333333"/>
          <w:sz w:val="34"/>
          <w:szCs w:val="34"/>
        </w:rPr>
        <w:t>ciberseguridad</w:t>
      </w:r>
    </w:p>
    <w:p w14:paraId="584D90A5" w14:textId="77777777" w:rsidR="001E2DF8" w:rsidRDefault="001E2DF8">
      <w:pPr>
        <w:jc w:val="center"/>
        <w:rPr>
          <w:rFonts w:ascii="Roboto" w:eastAsia="Roboto" w:hAnsi="Roboto" w:cs="Roboto"/>
          <w:b/>
          <w:sz w:val="34"/>
          <w:szCs w:val="34"/>
        </w:rPr>
      </w:pPr>
    </w:p>
    <w:p w14:paraId="584D90A6" w14:textId="77777777" w:rsidR="001E2DF8" w:rsidRDefault="005F3EE6">
      <w:pPr>
        <w:numPr>
          <w:ilvl w:val="0"/>
          <w:numId w:val="1"/>
        </w:numPr>
        <w:jc w:val="both"/>
        <w:rPr>
          <w:rFonts w:ascii="Roboto" w:eastAsia="Roboto" w:hAnsi="Roboto" w:cs="Roboto"/>
          <w:sz w:val="20"/>
          <w:szCs w:val="20"/>
        </w:rPr>
      </w:pPr>
      <w:r>
        <w:rPr>
          <w:rFonts w:ascii="Roboto" w:eastAsia="Roboto" w:hAnsi="Roboto" w:cs="Roboto"/>
          <w:b/>
          <w:sz w:val="20"/>
          <w:szCs w:val="20"/>
        </w:rPr>
        <w:t xml:space="preserve">Los servicios acreditados </w:t>
      </w:r>
      <w:r>
        <w:rPr>
          <w:rFonts w:ascii="Roboto" w:eastAsia="Roboto" w:hAnsi="Roboto" w:cs="Roboto"/>
          <w:b/>
          <w:sz w:val="20"/>
          <w:szCs w:val="20"/>
          <w:highlight w:val="white"/>
        </w:rPr>
        <w:t>contribuyen a asegurar la funcionalidad y operatividad de equipos y sistemas de comunicación, la seguridad, confidencialidad, integridad y disponibilidad de información y la protección de los usuarios</w:t>
      </w:r>
    </w:p>
    <w:p w14:paraId="584D90A7" w14:textId="77777777" w:rsidR="001E2DF8" w:rsidRDefault="001E2DF8">
      <w:pPr>
        <w:ind w:left="720"/>
        <w:jc w:val="both"/>
        <w:rPr>
          <w:rFonts w:ascii="Calibri" w:eastAsia="Calibri" w:hAnsi="Calibri" w:cs="Calibri"/>
          <w:b/>
          <w:color w:val="E83544"/>
          <w:sz w:val="22"/>
          <w:szCs w:val="22"/>
          <w:highlight w:val="white"/>
        </w:rPr>
      </w:pPr>
    </w:p>
    <w:p w14:paraId="757CBE04" w14:textId="0384B10A" w:rsidR="007227C7" w:rsidRPr="00DF15B8" w:rsidRDefault="005F3EE6">
      <w:pPr>
        <w:jc w:val="both"/>
        <w:rPr>
          <w:rFonts w:ascii="Roboto" w:eastAsia="Roboto" w:hAnsi="Roboto" w:cs="Roboto"/>
          <w:sz w:val="22"/>
          <w:szCs w:val="22"/>
        </w:rPr>
      </w:pPr>
      <w:r w:rsidRPr="134891BB">
        <w:rPr>
          <w:rFonts w:ascii="Roboto" w:eastAsia="Roboto" w:hAnsi="Roboto" w:cs="Roboto"/>
          <w:sz w:val="22"/>
          <w:szCs w:val="22"/>
        </w:rPr>
        <w:t xml:space="preserve">Madrid, 17 de mayo de 2021.- En el </w:t>
      </w:r>
      <w:hyperlink r:id="rId10">
        <w:r w:rsidRPr="134891BB">
          <w:rPr>
            <w:rFonts w:ascii="Roboto" w:eastAsia="Roboto" w:hAnsi="Roboto" w:cs="Roboto"/>
            <w:b/>
            <w:bCs/>
            <w:color w:val="1155CC"/>
            <w:sz w:val="22"/>
            <w:szCs w:val="22"/>
            <w:u w:val="single"/>
          </w:rPr>
          <w:t xml:space="preserve">Día Mundial de las Telecomunicaciones y la Sociedad de la Información </w:t>
        </w:r>
      </w:hyperlink>
      <w:r w:rsidRPr="134891BB">
        <w:rPr>
          <w:rFonts w:ascii="Roboto" w:eastAsia="Roboto" w:hAnsi="Roboto" w:cs="Roboto"/>
          <w:sz w:val="22"/>
          <w:szCs w:val="22"/>
        </w:rPr>
        <w:t xml:space="preserve">(DMTSI), que se celebra cada 17 de mayo, la </w:t>
      </w:r>
      <w:r w:rsidRPr="134891BB">
        <w:rPr>
          <w:rFonts w:ascii="Roboto" w:eastAsia="Roboto" w:hAnsi="Roboto" w:cs="Roboto"/>
          <w:b/>
          <w:bCs/>
          <w:sz w:val="22"/>
          <w:szCs w:val="22"/>
        </w:rPr>
        <w:t>Unión Internacional de Telecomunicaciones</w:t>
      </w:r>
      <w:r w:rsidRPr="134891BB">
        <w:rPr>
          <w:rFonts w:ascii="Roboto" w:eastAsia="Roboto" w:hAnsi="Roboto" w:cs="Roboto"/>
          <w:sz w:val="22"/>
          <w:szCs w:val="22"/>
        </w:rPr>
        <w:t xml:space="preserve"> insta a tomar las medidas necesarias para prevenir y reducir los peligros de la tecnología de la información, incluida la difusión de información errónea y la explotación de datos personales.</w:t>
      </w:r>
      <w:r w:rsidR="00A85A29" w:rsidRPr="134891BB">
        <w:rPr>
          <w:rFonts w:ascii="Roboto" w:eastAsia="Roboto" w:hAnsi="Roboto" w:cs="Roboto"/>
          <w:sz w:val="22"/>
          <w:szCs w:val="22"/>
        </w:rPr>
        <w:t xml:space="preserve"> </w:t>
      </w:r>
    </w:p>
    <w:p w14:paraId="33B25A9C" w14:textId="77777777" w:rsidR="007227C7" w:rsidRPr="00DF15B8" w:rsidRDefault="007227C7">
      <w:pPr>
        <w:jc w:val="both"/>
        <w:rPr>
          <w:rFonts w:ascii="Roboto" w:eastAsia="Roboto" w:hAnsi="Roboto" w:cs="Roboto"/>
          <w:sz w:val="22"/>
          <w:szCs w:val="22"/>
        </w:rPr>
      </w:pPr>
    </w:p>
    <w:p w14:paraId="398E8510" w14:textId="192F01A0" w:rsidR="00324F55" w:rsidRPr="00DF15B8" w:rsidRDefault="00A85A29" w:rsidP="134891BB">
      <w:pPr>
        <w:jc w:val="both"/>
        <w:rPr>
          <w:rFonts w:ascii="Roboto" w:eastAsia="Roboto" w:hAnsi="Roboto" w:cs="Roboto"/>
          <w:sz w:val="22"/>
          <w:szCs w:val="22"/>
        </w:rPr>
      </w:pPr>
      <w:r w:rsidRPr="3EF07212">
        <w:rPr>
          <w:rFonts w:ascii="Roboto" w:eastAsia="Roboto" w:hAnsi="Roboto" w:cs="Roboto"/>
          <w:sz w:val="22"/>
          <w:szCs w:val="22"/>
        </w:rPr>
        <w:t>En este sentido,</w:t>
      </w:r>
      <w:r w:rsidR="007227C7" w:rsidRPr="3EF07212">
        <w:rPr>
          <w:rFonts w:ascii="Roboto" w:eastAsia="Roboto" w:hAnsi="Roboto" w:cs="Roboto"/>
          <w:sz w:val="22"/>
          <w:szCs w:val="22"/>
        </w:rPr>
        <w:t xml:space="preserve"> las actividades de evaluación y control ayudan a garantizar la seguridad, la funcionalidad y operatividad de equipos y sistemas de comunicación; la seguridad, confidencialidad, integridad y disponibilidad de información; y la protección de los usuarios. Sin embargo, el valor que pueden aportar estas evaluaciones a las empresas depende del buen hacer y la competencia de las entidades que las realizan. En este sentido, el mercado español cuenta ya con más de 50 entidades acreditadas por </w:t>
      </w:r>
      <w:r w:rsidR="00976B48" w:rsidRPr="3EF07212">
        <w:rPr>
          <w:rFonts w:ascii="Roboto" w:eastAsia="Roboto" w:hAnsi="Roboto" w:cs="Roboto"/>
          <w:sz w:val="22"/>
          <w:szCs w:val="22"/>
        </w:rPr>
        <w:t xml:space="preserve">ENAC, la </w:t>
      </w:r>
      <w:hyperlink r:id="rId11">
        <w:r w:rsidR="00976B48" w:rsidRPr="3EF07212">
          <w:rPr>
            <w:rFonts w:ascii="Roboto" w:eastAsia="Roboto" w:hAnsi="Roboto" w:cs="Roboto"/>
            <w:sz w:val="22"/>
            <w:szCs w:val="22"/>
          </w:rPr>
          <w:t>Entidad Nacional de Acreditación</w:t>
        </w:r>
      </w:hyperlink>
      <w:r w:rsidR="007227C7" w:rsidRPr="3EF07212">
        <w:rPr>
          <w:rFonts w:ascii="Roboto" w:eastAsia="Roboto" w:hAnsi="Roboto" w:cs="Roboto"/>
          <w:sz w:val="22"/>
          <w:szCs w:val="22"/>
        </w:rPr>
        <w:t>, que han demostrado su competencia técnica para evaluar productos y servicios relacionados con la seguridad de la información.</w:t>
      </w:r>
      <w:r w:rsidRPr="3EF07212">
        <w:rPr>
          <w:rFonts w:ascii="Roboto" w:eastAsia="Roboto" w:hAnsi="Roboto" w:cs="Roboto"/>
          <w:sz w:val="22"/>
          <w:szCs w:val="22"/>
        </w:rPr>
        <w:t xml:space="preserve"> </w:t>
      </w:r>
    </w:p>
    <w:p w14:paraId="035CDE61" w14:textId="77777777" w:rsidR="00292996" w:rsidRPr="00DF15B8" w:rsidRDefault="00292996" w:rsidP="3EF07212">
      <w:pPr>
        <w:jc w:val="both"/>
        <w:rPr>
          <w:rFonts w:ascii="Roboto" w:eastAsia="Roboto" w:hAnsi="Roboto" w:cs="Roboto"/>
          <w:sz w:val="22"/>
          <w:szCs w:val="22"/>
        </w:rPr>
      </w:pPr>
    </w:p>
    <w:p w14:paraId="584D90B0" w14:textId="5CC04756" w:rsidR="001E2DF8" w:rsidRDefault="00620DF9" w:rsidP="134891BB">
      <w:pPr>
        <w:spacing w:after="200" w:line="276" w:lineRule="auto"/>
        <w:jc w:val="both"/>
        <w:rPr>
          <w:rFonts w:ascii="Roboto" w:eastAsia="Roboto" w:hAnsi="Roboto" w:cs="Roboto"/>
          <w:sz w:val="22"/>
          <w:szCs w:val="22"/>
        </w:rPr>
      </w:pPr>
      <w:r w:rsidRPr="134891BB">
        <w:rPr>
          <w:rFonts w:ascii="Roboto" w:eastAsia="Roboto" w:hAnsi="Roboto" w:cs="Roboto"/>
          <w:sz w:val="22"/>
          <w:szCs w:val="22"/>
        </w:rPr>
        <w:t xml:space="preserve">En el ámbito de la </w:t>
      </w:r>
      <w:r w:rsidR="005F3EE6" w:rsidRPr="134891BB">
        <w:rPr>
          <w:rFonts w:ascii="Roboto" w:eastAsia="Roboto" w:hAnsi="Roboto" w:cs="Roboto"/>
          <w:sz w:val="22"/>
          <w:szCs w:val="22"/>
        </w:rPr>
        <w:t>ciberseguridad</w:t>
      </w:r>
      <w:r w:rsidRPr="134891BB">
        <w:rPr>
          <w:rFonts w:ascii="Roboto" w:eastAsia="Roboto" w:hAnsi="Roboto" w:cs="Roboto"/>
          <w:sz w:val="22"/>
          <w:szCs w:val="22"/>
        </w:rPr>
        <w:t xml:space="preserve">, </w:t>
      </w:r>
      <w:r w:rsidR="005F3EE6" w:rsidRPr="134891BB">
        <w:rPr>
          <w:rFonts w:ascii="Roboto" w:eastAsia="Roboto" w:hAnsi="Roboto" w:cs="Roboto"/>
          <w:sz w:val="22"/>
          <w:szCs w:val="22"/>
        </w:rPr>
        <w:t>un objetivo prioritario en las agendas de la mayoría de los Gobiernos</w:t>
      </w:r>
      <w:r w:rsidR="000273D2" w:rsidRPr="134891BB">
        <w:rPr>
          <w:rFonts w:ascii="Roboto" w:eastAsia="Roboto" w:hAnsi="Roboto" w:cs="Roboto"/>
          <w:sz w:val="22"/>
          <w:szCs w:val="22"/>
        </w:rPr>
        <w:t>,</w:t>
      </w:r>
      <w:r w:rsidR="005F3EE6" w:rsidRPr="134891BB">
        <w:rPr>
          <w:rFonts w:ascii="Roboto" w:eastAsia="Roboto" w:hAnsi="Roboto" w:cs="Roboto"/>
          <w:sz w:val="22"/>
          <w:szCs w:val="22"/>
        </w:rPr>
        <w:t xml:space="preserve"> </w:t>
      </w:r>
      <w:r w:rsidR="00247BD1" w:rsidRPr="134891BB">
        <w:rPr>
          <w:rFonts w:ascii="Roboto" w:eastAsia="Roboto" w:hAnsi="Roboto" w:cs="Roboto"/>
          <w:sz w:val="22"/>
          <w:szCs w:val="22"/>
        </w:rPr>
        <w:t xml:space="preserve">a </w:t>
      </w:r>
      <w:r w:rsidR="005F3EE6" w:rsidRPr="134891BB">
        <w:rPr>
          <w:rFonts w:ascii="Roboto" w:eastAsia="Roboto" w:hAnsi="Roboto" w:cs="Roboto"/>
          <w:sz w:val="22"/>
          <w:szCs w:val="22"/>
        </w:rPr>
        <w:t>nivel europeo, el Reglamento (UE) 2019/881, más conocido como “</w:t>
      </w:r>
      <w:proofErr w:type="spellStart"/>
      <w:r w:rsidR="006B27A5">
        <w:fldChar w:fldCharType="begin"/>
      </w:r>
      <w:r w:rsidR="006B27A5">
        <w:instrText xml:space="preserve"> HYPERLINK "https://www.enac.es/</w:instrText>
      </w:r>
      <w:r w:rsidR="006B27A5">
        <w:instrText xml:space="preserve">web/enac/cybersecurity-act-2019" \h </w:instrText>
      </w:r>
      <w:r w:rsidR="006B27A5">
        <w:fldChar w:fldCharType="separate"/>
      </w:r>
      <w:r w:rsidR="005F3EE6" w:rsidRPr="134891BB">
        <w:rPr>
          <w:rFonts w:ascii="Roboto" w:eastAsia="Roboto" w:hAnsi="Roboto" w:cs="Roboto"/>
          <w:color w:val="1155CC"/>
          <w:sz w:val="22"/>
          <w:szCs w:val="22"/>
          <w:u w:val="single"/>
        </w:rPr>
        <w:t>Cybersecurity</w:t>
      </w:r>
      <w:proofErr w:type="spellEnd"/>
      <w:r w:rsidR="005F3EE6" w:rsidRPr="134891BB">
        <w:rPr>
          <w:rFonts w:ascii="Roboto" w:eastAsia="Roboto" w:hAnsi="Roboto" w:cs="Roboto"/>
          <w:color w:val="1155CC"/>
          <w:sz w:val="22"/>
          <w:szCs w:val="22"/>
          <w:u w:val="single"/>
        </w:rPr>
        <w:t xml:space="preserve"> </w:t>
      </w:r>
      <w:proofErr w:type="spellStart"/>
      <w:r w:rsidR="005F3EE6" w:rsidRPr="134891BB">
        <w:rPr>
          <w:rFonts w:ascii="Roboto" w:eastAsia="Roboto" w:hAnsi="Roboto" w:cs="Roboto"/>
          <w:color w:val="1155CC"/>
          <w:sz w:val="22"/>
          <w:szCs w:val="22"/>
          <w:u w:val="single"/>
        </w:rPr>
        <w:t>Act</w:t>
      </w:r>
      <w:proofErr w:type="spellEnd"/>
      <w:r w:rsidR="006B27A5">
        <w:rPr>
          <w:rFonts w:ascii="Roboto" w:eastAsia="Roboto" w:hAnsi="Roboto" w:cs="Roboto"/>
          <w:color w:val="1155CC"/>
          <w:sz w:val="22"/>
          <w:szCs w:val="22"/>
          <w:u w:val="single"/>
        </w:rPr>
        <w:fldChar w:fldCharType="end"/>
      </w:r>
      <w:r w:rsidR="005F3EE6" w:rsidRPr="134891BB">
        <w:rPr>
          <w:rFonts w:ascii="Roboto" w:eastAsia="Roboto" w:hAnsi="Roboto" w:cs="Roboto"/>
          <w:sz w:val="22"/>
          <w:szCs w:val="22"/>
        </w:rPr>
        <w:t>”, nace con el objetivo de reforzar la lucha contra las amenazas y ataques en materia de ciberseguridad y otorga un papel central a la acreditación, definiendo un</w:t>
      </w:r>
      <w:r w:rsidR="005F3EE6" w:rsidRPr="134891BB">
        <w:rPr>
          <w:rFonts w:ascii="Roboto" w:eastAsia="Roboto" w:hAnsi="Roboto" w:cs="Roboto"/>
          <w:b/>
          <w:bCs/>
          <w:sz w:val="22"/>
          <w:szCs w:val="22"/>
        </w:rPr>
        <w:t xml:space="preserve"> marco europeo de certificación de la ciberseguridad con el objetivo de crear un mercado único digital</w:t>
      </w:r>
      <w:r w:rsidR="005F3EE6" w:rsidRPr="134891BB">
        <w:rPr>
          <w:rFonts w:ascii="Roboto" w:eastAsia="Roboto" w:hAnsi="Roboto" w:cs="Roboto"/>
          <w:sz w:val="22"/>
          <w:szCs w:val="22"/>
        </w:rPr>
        <w:t xml:space="preserve"> para los productos, servicios y procesos de TIC en el que </w:t>
      </w:r>
      <w:r w:rsidR="005F3EE6" w:rsidRPr="134891BB">
        <w:rPr>
          <w:rFonts w:ascii="Roboto" w:eastAsia="Roboto" w:hAnsi="Roboto" w:cs="Roboto"/>
          <w:b/>
          <w:bCs/>
          <w:sz w:val="22"/>
          <w:szCs w:val="22"/>
        </w:rPr>
        <w:t>solo contempla la opción de la certificación acreditada</w:t>
      </w:r>
      <w:r w:rsidR="005F3EE6" w:rsidRPr="134891BB">
        <w:rPr>
          <w:rFonts w:ascii="Roboto" w:eastAsia="Roboto" w:hAnsi="Roboto" w:cs="Roboto"/>
          <w:sz w:val="22"/>
          <w:szCs w:val="22"/>
        </w:rPr>
        <w:t>, independientemente de quién sea el organismo de certificación que vaya a operar.</w:t>
      </w:r>
    </w:p>
    <w:p w14:paraId="5DC9F3C9" w14:textId="567CCC4B" w:rsidR="001E2DF8" w:rsidDel="00F66312" w:rsidRDefault="005F3EE6">
      <w:pPr>
        <w:spacing w:after="200" w:line="276" w:lineRule="auto"/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A nivel nacional, el </w:t>
      </w:r>
      <w:r w:rsidRPr="134891BB">
        <w:rPr>
          <w:rFonts w:ascii="Roboto" w:eastAsia="Roboto" w:hAnsi="Roboto" w:cs="Roboto"/>
          <w:b/>
          <w:bCs/>
          <w:sz w:val="22"/>
          <w:szCs w:val="22"/>
        </w:rPr>
        <w:t>Esquema Nacional de Seguridad</w:t>
      </w:r>
      <w:r>
        <w:rPr>
          <w:rFonts w:ascii="Roboto" w:eastAsia="Roboto" w:hAnsi="Roboto" w:cs="Roboto"/>
          <w:sz w:val="22"/>
          <w:szCs w:val="22"/>
        </w:rPr>
        <w:t xml:space="preserve"> (ENS)</w:t>
      </w:r>
      <w:r w:rsidR="00F132A0">
        <w:rPr>
          <w:rFonts w:ascii="Roboto" w:eastAsia="Roboto" w:hAnsi="Roboto" w:cs="Roboto"/>
          <w:sz w:val="22"/>
          <w:szCs w:val="22"/>
        </w:rPr>
        <w:t xml:space="preserve"> </w:t>
      </w:r>
      <w:r>
        <w:rPr>
          <w:rFonts w:ascii="Roboto" w:eastAsia="Roboto" w:hAnsi="Roboto" w:cs="Roboto"/>
          <w:sz w:val="22"/>
          <w:szCs w:val="22"/>
        </w:rPr>
        <w:t>fija los principios básicos y requisitos mínimos, así como las medidas de protección a implantar en los sistemas de la Administración Pública y también es aplicable a operadores del sector privado que prestan servicios o provean soluciones a entidades públicas</w:t>
      </w:r>
      <w:r w:rsidR="00B27E33">
        <w:rPr>
          <w:rFonts w:ascii="Roboto" w:eastAsia="Roboto" w:hAnsi="Roboto" w:cs="Roboto"/>
          <w:sz w:val="22"/>
          <w:szCs w:val="22"/>
        </w:rPr>
        <w:t xml:space="preserve">. </w:t>
      </w:r>
      <w:r w:rsidR="00694FD4">
        <w:rPr>
          <w:rFonts w:ascii="Roboto" w:hAnsi="Roboto"/>
          <w:color w:val="333333"/>
          <w:sz w:val="21"/>
          <w:szCs w:val="21"/>
          <w:shd w:val="clear" w:color="auto" w:fill="FFFFFF"/>
        </w:rPr>
        <w:t>Para aportar las máximas garantías, se estableció la exigencia de la acreditación ENAC a las entidades certificadoras para poder actuar en el marco de dicho esquema.</w:t>
      </w:r>
    </w:p>
    <w:p w14:paraId="67CED24F" w14:textId="77777777" w:rsidR="00A27389" w:rsidRDefault="005F3EE6">
      <w:pPr>
        <w:spacing w:after="200" w:line="276" w:lineRule="auto"/>
        <w:jc w:val="both"/>
        <w:rPr>
          <w:rFonts w:ascii="Roboto" w:eastAsia="Roboto" w:hAnsi="Roboto" w:cs="Roboto"/>
          <w:sz w:val="22"/>
          <w:szCs w:val="22"/>
        </w:rPr>
      </w:pPr>
      <w:r w:rsidRPr="3EF07212">
        <w:rPr>
          <w:rFonts w:ascii="Roboto" w:eastAsia="Roboto" w:hAnsi="Roboto" w:cs="Roboto"/>
          <w:sz w:val="22"/>
          <w:szCs w:val="22"/>
        </w:rPr>
        <w:t xml:space="preserve">Por otro lado, la acreditación de los ensayos y certificaciones de seguridad de los productos y sistemas de tecnologías de la información de acuerdo con </w:t>
      </w:r>
      <w:r w:rsidRPr="3EF07212">
        <w:rPr>
          <w:rFonts w:ascii="Roboto" w:eastAsia="Roboto" w:hAnsi="Roboto" w:cs="Roboto"/>
          <w:b/>
          <w:bCs/>
          <w:sz w:val="22"/>
          <w:szCs w:val="22"/>
        </w:rPr>
        <w:t xml:space="preserve">estándares como </w:t>
      </w:r>
      <w:proofErr w:type="spellStart"/>
      <w:r w:rsidRPr="3EF07212">
        <w:rPr>
          <w:rFonts w:ascii="Roboto" w:eastAsia="Roboto" w:hAnsi="Roboto" w:cs="Roboto"/>
          <w:b/>
          <w:bCs/>
          <w:sz w:val="22"/>
          <w:szCs w:val="22"/>
        </w:rPr>
        <w:t>Common</w:t>
      </w:r>
      <w:proofErr w:type="spellEnd"/>
      <w:r w:rsidRPr="3EF07212">
        <w:rPr>
          <w:rFonts w:ascii="Roboto" w:eastAsia="Roboto" w:hAnsi="Roboto" w:cs="Roboto"/>
          <w:b/>
          <w:bCs/>
          <w:sz w:val="22"/>
          <w:szCs w:val="22"/>
        </w:rPr>
        <w:t xml:space="preserve"> </w:t>
      </w:r>
      <w:proofErr w:type="spellStart"/>
      <w:r w:rsidRPr="3EF07212">
        <w:rPr>
          <w:rFonts w:ascii="Roboto" w:eastAsia="Roboto" w:hAnsi="Roboto" w:cs="Roboto"/>
          <w:b/>
          <w:bCs/>
          <w:sz w:val="22"/>
          <w:szCs w:val="22"/>
        </w:rPr>
        <w:t>Criteria</w:t>
      </w:r>
      <w:proofErr w:type="spellEnd"/>
      <w:r w:rsidRPr="3EF07212">
        <w:rPr>
          <w:rFonts w:ascii="Roboto" w:eastAsia="Roboto" w:hAnsi="Roboto" w:cs="Roboto"/>
          <w:b/>
          <w:bCs/>
          <w:sz w:val="22"/>
          <w:szCs w:val="22"/>
        </w:rPr>
        <w:t xml:space="preserve"> o Lince</w:t>
      </w:r>
      <w:r w:rsidRPr="3EF07212">
        <w:rPr>
          <w:rFonts w:ascii="Roboto" w:eastAsia="Roboto" w:hAnsi="Roboto" w:cs="Roboto"/>
          <w:sz w:val="22"/>
          <w:szCs w:val="22"/>
        </w:rPr>
        <w:t xml:space="preserve"> permite evaluar la capacidad de un producto TIC para tratar la información de forma segura. </w:t>
      </w:r>
    </w:p>
    <w:p w14:paraId="584D90B2" w14:textId="0AD350C8" w:rsidR="001E2DF8" w:rsidRDefault="005F3EE6">
      <w:pPr>
        <w:spacing w:after="200" w:line="276" w:lineRule="auto"/>
        <w:jc w:val="both"/>
        <w:rPr>
          <w:rFonts w:ascii="Roboto" w:eastAsia="Roboto" w:hAnsi="Roboto" w:cs="Roboto"/>
          <w:sz w:val="22"/>
          <w:szCs w:val="22"/>
        </w:rPr>
      </w:pPr>
      <w:r w:rsidRPr="3EF07212">
        <w:rPr>
          <w:rFonts w:ascii="Roboto" w:eastAsia="Roboto" w:hAnsi="Roboto" w:cs="Roboto"/>
          <w:sz w:val="22"/>
          <w:szCs w:val="22"/>
        </w:rPr>
        <w:lastRenderedPageBreak/>
        <w:t xml:space="preserve">Asimismo, el </w:t>
      </w:r>
      <w:r w:rsidRPr="3EF07212">
        <w:rPr>
          <w:rFonts w:ascii="Roboto" w:eastAsia="Roboto" w:hAnsi="Roboto" w:cs="Roboto"/>
          <w:color w:val="333333"/>
          <w:sz w:val="22"/>
          <w:szCs w:val="22"/>
        </w:rPr>
        <w:t> </w:t>
      </w:r>
      <w:hyperlink r:id="rId12">
        <w:r w:rsidRPr="3EF07212">
          <w:rPr>
            <w:rFonts w:ascii="Roboto" w:eastAsia="Roboto" w:hAnsi="Roboto" w:cs="Roboto"/>
            <w:color w:val="B22222"/>
            <w:sz w:val="22"/>
            <w:szCs w:val="22"/>
            <w:u w:val="single"/>
          </w:rPr>
          <w:t xml:space="preserve">Reglamento (UE) </w:t>
        </w:r>
        <w:proofErr w:type="spellStart"/>
        <w:r w:rsidRPr="3EF07212">
          <w:rPr>
            <w:rFonts w:ascii="Roboto" w:eastAsia="Roboto" w:hAnsi="Roboto" w:cs="Roboto"/>
            <w:color w:val="B22222"/>
            <w:sz w:val="22"/>
            <w:szCs w:val="22"/>
            <w:u w:val="single"/>
          </w:rPr>
          <w:t>nº</w:t>
        </w:r>
        <w:proofErr w:type="spellEnd"/>
        <w:r w:rsidRPr="3EF07212">
          <w:rPr>
            <w:rFonts w:ascii="Roboto" w:eastAsia="Roboto" w:hAnsi="Roboto" w:cs="Roboto"/>
            <w:color w:val="B22222"/>
            <w:sz w:val="22"/>
            <w:szCs w:val="22"/>
            <w:u w:val="single"/>
          </w:rPr>
          <w:t xml:space="preserve"> 910/2014, </w:t>
        </w:r>
        <w:proofErr w:type="spellStart"/>
        <w:r w:rsidRPr="3EF07212">
          <w:rPr>
            <w:rFonts w:ascii="Roboto" w:eastAsia="Roboto" w:hAnsi="Roboto" w:cs="Roboto"/>
            <w:color w:val="B22222"/>
            <w:sz w:val="22"/>
            <w:szCs w:val="22"/>
            <w:u w:val="single"/>
          </w:rPr>
          <w:t>eIDAS</w:t>
        </w:r>
        <w:proofErr w:type="spellEnd"/>
      </w:hyperlink>
      <w:r w:rsidRPr="3EF07212">
        <w:rPr>
          <w:rFonts w:ascii="Roboto" w:eastAsia="Roboto" w:hAnsi="Roboto" w:cs="Roboto"/>
          <w:color w:val="333333"/>
          <w:sz w:val="22"/>
          <w:szCs w:val="22"/>
        </w:rPr>
        <w:t xml:space="preserve">, </w:t>
      </w:r>
      <w:r w:rsidRPr="3EF07212">
        <w:rPr>
          <w:rFonts w:ascii="Roboto" w:eastAsia="Roboto" w:hAnsi="Roboto" w:cs="Roboto"/>
          <w:sz w:val="22"/>
          <w:szCs w:val="22"/>
        </w:rPr>
        <w:t>para la identificación electrónica y los servicios de confianza para las transacciones electrónicas en el mercado interior</w:t>
      </w:r>
      <w:r w:rsidR="00DC273D" w:rsidRPr="3EF07212">
        <w:rPr>
          <w:rFonts w:ascii="Roboto" w:eastAsia="Roboto" w:hAnsi="Roboto" w:cs="Roboto"/>
          <w:sz w:val="22"/>
          <w:szCs w:val="22"/>
        </w:rPr>
        <w:t>,</w:t>
      </w:r>
      <w:r w:rsidRPr="3EF07212">
        <w:rPr>
          <w:rFonts w:ascii="Roboto" w:eastAsia="Roboto" w:hAnsi="Roboto" w:cs="Roboto"/>
          <w:sz w:val="22"/>
          <w:szCs w:val="22"/>
        </w:rPr>
        <w:t xml:space="preserve"> ha establecido la acreditación para asegurar la competencia técnica, la operatividad e imparcialidad de los organismos que auditan y certifican a los proveedores servicios de identificación electrónica.</w:t>
      </w:r>
    </w:p>
    <w:p w14:paraId="584D90B3" w14:textId="77777777" w:rsidR="001E2DF8" w:rsidRDefault="001E2DF8">
      <w:pPr>
        <w:jc w:val="both"/>
        <w:rPr>
          <w:rFonts w:ascii="Roboto" w:eastAsia="Roboto" w:hAnsi="Roboto" w:cs="Roboto"/>
          <w:b/>
          <w:sz w:val="22"/>
          <w:szCs w:val="22"/>
          <w:u w:val="single"/>
        </w:rPr>
      </w:pPr>
    </w:p>
    <w:p w14:paraId="584D90B4" w14:textId="77777777" w:rsidR="001E2DF8" w:rsidRDefault="005F3EE6">
      <w:pPr>
        <w:spacing w:after="200" w:line="276" w:lineRule="auto"/>
        <w:jc w:val="both"/>
        <w:rPr>
          <w:rFonts w:ascii="Roboto" w:eastAsia="Roboto" w:hAnsi="Roboto" w:cs="Roboto"/>
          <w:b/>
          <w:color w:val="E83544"/>
          <w:sz w:val="22"/>
          <w:szCs w:val="22"/>
        </w:rPr>
      </w:pPr>
      <w:r>
        <w:rPr>
          <w:rFonts w:ascii="Roboto" w:eastAsia="Roboto" w:hAnsi="Roboto" w:cs="Roboto"/>
          <w:b/>
          <w:color w:val="E83544"/>
          <w:sz w:val="22"/>
          <w:szCs w:val="22"/>
        </w:rPr>
        <w:t>Sobre ENAC</w:t>
      </w:r>
    </w:p>
    <w:p w14:paraId="584D90B5" w14:textId="77777777" w:rsidR="001E2DF8" w:rsidRDefault="005F3EE6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La Entidad Nacional de Acreditación – ENAC – es la entidad designada por el Gobierno para operar en España como el único Organismo Nacional de Acreditación, en aplicación del Reglamento (CE) </w:t>
      </w:r>
      <w:proofErr w:type="spellStart"/>
      <w:r>
        <w:rPr>
          <w:rFonts w:ascii="Roboto" w:eastAsia="Roboto" w:hAnsi="Roboto" w:cs="Roboto"/>
          <w:sz w:val="22"/>
          <w:szCs w:val="22"/>
        </w:rPr>
        <w:t>nº</w:t>
      </w:r>
      <w:proofErr w:type="spellEnd"/>
      <w:r>
        <w:rPr>
          <w:rFonts w:ascii="Roboto" w:eastAsia="Roboto" w:hAnsi="Roboto" w:cs="Roboto"/>
          <w:sz w:val="22"/>
          <w:szCs w:val="22"/>
        </w:rPr>
        <w:t xml:space="preserve"> 765/2008 del Parlamento Europeo que regula el funcionamiento de la acreditación en Europa.</w:t>
      </w:r>
    </w:p>
    <w:p w14:paraId="584D90B6" w14:textId="77777777" w:rsidR="001E2DF8" w:rsidRDefault="005F3EE6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1F497D"/>
          <w:sz w:val="22"/>
          <w:szCs w:val="22"/>
        </w:rPr>
        <w:t> </w:t>
      </w:r>
    </w:p>
    <w:p w14:paraId="584D90B7" w14:textId="77777777" w:rsidR="001E2DF8" w:rsidRDefault="005F3EE6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ENAC tiene como misión generar confianza en el mercado y en la sociedad evaluando, a través de un sistema conforme a normas internacionales, la competencia técnica de laboratorios de ensayo o calibración, entidades de inspección, entidades de certificación y verificadores medioambientales que desarrollen su actividad en cualquier sector: industria,  energía, medio ambiente, sanidad, alimentación, investigación, desarrollo e innovación, transportes, telecomunicaciones, turismo, servicios, construcción, etc. Contribuye, así, a la seguridad y el bienestar de las personas, la calidad de los productos y servicios, la protección del medioambiente y, con ello, al aumento de la competitividad de los productos y servicios españoles y a una disminución de los costes para la sociedad debidos a estas actividades. </w:t>
      </w:r>
    </w:p>
    <w:p w14:paraId="584D90B8" w14:textId="77777777" w:rsidR="001E2DF8" w:rsidRDefault="005F3EE6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 </w:t>
      </w:r>
    </w:p>
    <w:p w14:paraId="584D90B9" w14:textId="77777777" w:rsidR="001E2DF8" w:rsidRDefault="001E2DF8">
      <w:pPr>
        <w:jc w:val="both"/>
        <w:rPr>
          <w:rFonts w:ascii="Roboto" w:eastAsia="Roboto" w:hAnsi="Roboto" w:cs="Roboto"/>
          <w:sz w:val="22"/>
          <w:szCs w:val="22"/>
        </w:rPr>
      </w:pPr>
    </w:p>
    <w:p w14:paraId="584D90BA" w14:textId="77777777" w:rsidR="001E2DF8" w:rsidRDefault="001E2DF8">
      <w:pPr>
        <w:jc w:val="both"/>
        <w:rPr>
          <w:rFonts w:ascii="Roboto" w:eastAsia="Roboto" w:hAnsi="Roboto" w:cs="Roboto"/>
          <w:sz w:val="22"/>
          <w:szCs w:val="22"/>
        </w:rPr>
      </w:pPr>
    </w:p>
    <w:p w14:paraId="584D90BB" w14:textId="77777777" w:rsidR="001E2DF8" w:rsidRDefault="005F3EE6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La marca ENAC es la manera de distinguir si un certificado o informe está acreditado o no. Es la garantía de que la organización que lo emite es técnicamente competente para llevar a cabo la tarea que realiza, y lo es tanto en España como en los 100 países en los que la marca de ENAC es reconocida y aceptada gracias a los acuerdos de reconocimiento que ENAC ha suscrito con las entidades de acreditación de esos países.</w:t>
      </w:r>
    </w:p>
    <w:p w14:paraId="584D90BC" w14:textId="77777777" w:rsidR="001E2DF8" w:rsidRDefault="001E2DF8">
      <w:pPr>
        <w:jc w:val="both"/>
        <w:rPr>
          <w:rFonts w:ascii="Roboto" w:eastAsia="Roboto" w:hAnsi="Roboto" w:cs="Roboto"/>
          <w:sz w:val="22"/>
          <w:szCs w:val="22"/>
        </w:rPr>
      </w:pPr>
    </w:p>
    <w:p w14:paraId="584D90BD" w14:textId="77777777" w:rsidR="001E2DF8" w:rsidRDefault="001E2DF8">
      <w:pPr>
        <w:jc w:val="both"/>
        <w:rPr>
          <w:rFonts w:ascii="Roboto" w:eastAsia="Roboto" w:hAnsi="Roboto" w:cs="Roboto"/>
          <w:sz w:val="22"/>
          <w:szCs w:val="22"/>
        </w:rPr>
      </w:pPr>
    </w:p>
    <w:p w14:paraId="584D90BE" w14:textId="77777777" w:rsidR="001E2DF8" w:rsidRDefault="006B27A5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  <w:hyperlink r:id="rId13">
        <w:r w:rsidR="005F3EE6"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www.enac.es</w:t>
        </w:r>
      </w:hyperlink>
      <w:r w:rsidR="005F3EE6"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</w:p>
    <w:p w14:paraId="584D90BF" w14:textId="77777777" w:rsidR="001E2DF8" w:rsidRDefault="001E2DF8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584D90C0" w14:textId="77777777" w:rsidR="001E2DF8" w:rsidRDefault="005F3EE6">
      <w:pPr>
        <w:pBdr>
          <w:bottom w:val="single" w:sz="12" w:space="1" w:color="000000"/>
        </w:pBd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color w:val="0000FF"/>
          <w:sz w:val="22"/>
          <w:szCs w:val="22"/>
        </w:rPr>
        <w:t xml:space="preserve">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584D90CA" wp14:editId="584D90CB">
            <wp:extent cx="304800" cy="3048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Roboto" w:eastAsia="Roboto" w:hAnsi="Roboto" w:cs="Roboto"/>
          <w:color w:val="0000FF"/>
          <w:sz w:val="22"/>
          <w:szCs w:val="22"/>
        </w:rPr>
        <w:t xml:space="preserve">  </w:t>
      </w:r>
      <w:r>
        <w:rPr>
          <w:rFonts w:ascii="Roboto" w:eastAsia="Roboto" w:hAnsi="Roboto" w:cs="Roboto"/>
          <w:noProof/>
          <w:color w:val="0000FF"/>
          <w:sz w:val="22"/>
          <w:szCs w:val="22"/>
        </w:rPr>
        <w:drawing>
          <wp:inline distT="0" distB="0" distL="0" distR="0" wp14:anchorId="584D90CC" wp14:editId="584D90CD">
            <wp:extent cx="304800" cy="304800"/>
            <wp:effectExtent l="0" t="0" r="0" b="0"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4D90C1" w14:textId="77777777" w:rsidR="001E2DF8" w:rsidRDefault="001E2DF8">
      <w:pPr>
        <w:pBdr>
          <w:bottom w:val="single" w:sz="12" w:space="1" w:color="000000"/>
        </w:pBd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584D90C2" w14:textId="77777777" w:rsidR="001E2DF8" w:rsidRDefault="001E2DF8">
      <w:pPr>
        <w:jc w:val="both"/>
        <w:rPr>
          <w:rFonts w:ascii="Roboto" w:eastAsia="Roboto" w:hAnsi="Roboto" w:cs="Roboto"/>
          <w:color w:val="E83544"/>
          <w:sz w:val="22"/>
          <w:szCs w:val="22"/>
        </w:rPr>
      </w:pPr>
    </w:p>
    <w:p w14:paraId="584D90C3" w14:textId="77777777" w:rsidR="001E2DF8" w:rsidRDefault="005F3EE6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Para más información sobre la nota de prensa, resolver dudas o gestionar entrevistas</w:t>
      </w:r>
    </w:p>
    <w:p w14:paraId="584D90C4" w14:textId="77777777" w:rsidR="001E2DF8" w:rsidRDefault="005F3EE6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>Eva Martín</w:t>
      </w:r>
    </w:p>
    <w:p w14:paraId="584D90C5" w14:textId="77777777" w:rsidR="001E2DF8" w:rsidRDefault="005F3EE6">
      <w:pPr>
        <w:jc w:val="both"/>
        <w:rPr>
          <w:rFonts w:ascii="Roboto" w:eastAsia="Roboto" w:hAnsi="Roboto" w:cs="Roboto"/>
          <w:sz w:val="22"/>
          <w:szCs w:val="22"/>
        </w:rPr>
      </w:pPr>
      <w:r>
        <w:rPr>
          <w:rFonts w:ascii="Roboto" w:eastAsia="Roboto" w:hAnsi="Roboto" w:cs="Roboto"/>
          <w:sz w:val="22"/>
          <w:szCs w:val="22"/>
        </w:rPr>
        <w:t xml:space="preserve">Tfno. 628 17 49 01 / </w:t>
      </w:r>
      <w:r>
        <w:rPr>
          <w:rFonts w:ascii="Roboto" w:eastAsia="Roboto" w:hAnsi="Roboto" w:cs="Roboto"/>
          <w:color w:val="E83544"/>
          <w:sz w:val="22"/>
          <w:szCs w:val="22"/>
        </w:rPr>
        <w:t xml:space="preserve"> </w:t>
      </w:r>
      <w:hyperlink r:id="rId16">
        <w:r>
          <w:rPr>
            <w:rFonts w:ascii="Roboto" w:eastAsia="Roboto" w:hAnsi="Roboto" w:cs="Roboto"/>
            <w:color w:val="E83544"/>
            <w:sz w:val="22"/>
            <w:szCs w:val="22"/>
            <w:u w:val="single"/>
          </w:rPr>
          <w:t>evamc@varenga.es</w:t>
        </w:r>
      </w:hyperlink>
    </w:p>
    <w:p w14:paraId="584D90C6" w14:textId="77777777" w:rsidR="001E2DF8" w:rsidRDefault="001E2DF8">
      <w:pPr>
        <w:spacing w:after="200" w:line="276" w:lineRule="auto"/>
        <w:rPr>
          <w:rFonts w:ascii="Roboto" w:eastAsia="Roboto" w:hAnsi="Roboto" w:cs="Roboto"/>
          <w:sz w:val="22"/>
          <w:szCs w:val="22"/>
        </w:rPr>
      </w:pPr>
    </w:p>
    <w:p w14:paraId="584D90C7" w14:textId="77777777" w:rsidR="001E2DF8" w:rsidRDefault="001E2DF8">
      <w:pPr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84D90C8" w14:textId="77777777" w:rsidR="001E2DF8" w:rsidRDefault="001E2DF8">
      <w:pPr>
        <w:jc w:val="both"/>
        <w:rPr>
          <w:rFonts w:ascii="Calibri" w:eastAsia="Calibri" w:hAnsi="Calibri" w:cs="Calibri"/>
          <w:b/>
          <w:sz w:val="22"/>
          <w:szCs w:val="22"/>
          <w:u w:val="single"/>
        </w:rPr>
      </w:pPr>
    </w:p>
    <w:p w14:paraId="584D90C9" w14:textId="77777777" w:rsidR="001E2DF8" w:rsidRDefault="001E2DF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highlight w:val="white"/>
        </w:rPr>
      </w:pPr>
    </w:p>
    <w:sectPr w:rsidR="001E2DF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5C1DD" w14:textId="77777777" w:rsidR="0088392C" w:rsidRDefault="0088392C">
      <w:r>
        <w:separator/>
      </w:r>
    </w:p>
  </w:endnote>
  <w:endnote w:type="continuationSeparator" w:id="0">
    <w:p w14:paraId="084EA1EC" w14:textId="77777777" w:rsidR="0088392C" w:rsidRDefault="0088392C">
      <w:r>
        <w:continuationSeparator/>
      </w:r>
    </w:p>
  </w:endnote>
  <w:endnote w:type="continuationNotice" w:id="1">
    <w:p w14:paraId="52C3DB98" w14:textId="77777777" w:rsidR="0088392C" w:rsidRDefault="008839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A6AEE" w14:textId="77777777" w:rsidR="00103489" w:rsidRDefault="001034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90D1" w14:textId="114A6DDA" w:rsidR="001E2DF8" w:rsidRDefault="005F3EE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905EE7">
      <w:rPr>
        <w:noProof/>
        <w:color w:val="000000"/>
      </w:rPr>
      <w:t>1</w:t>
    </w:r>
    <w:r>
      <w:rPr>
        <w:color w:val="000000"/>
      </w:rPr>
      <w:fldChar w:fldCharType="end"/>
    </w:r>
  </w:p>
  <w:p w14:paraId="584D90D2" w14:textId="77777777" w:rsidR="001E2DF8" w:rsidRDefault="001E2D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5C0AC" w14:textId="77777777" w:rsidR="00103489" w:rsidRDefault="001034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AAD0B" w14:textId="77777777" w:rsidR="0088392C" w:rsidRDefault="0088392C">
      <w:r>
        <w:separator/>
      </w:r>
    </w:p>
  </w:footnote>
  <w:footnote w:type="continuationSeparator" w:id="0">
    <w:p w14:paraId="687274C3" w14:textId="77777777" w:rsidR="0088392C" w:rsidRDefault="0088392C">
      <w:r>
        <w:continuationSeparator/>
      </w:r>
    </w:p>
  </w:footnote>
  <w:footnote w:type="continuationNotice" w:id="1">
    <w:p w14:paraId="45E17FC7" w14:textId="77777777" w:rsidR="0088392C" w:rsidRDefault="0088392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BC6BE" w14:textId="77777777" w:rsidR="00103489" w:rsidRDefault="0010348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D90CE" w14:textId="77777777" w:rsidR="001E2DF8" w:rsidRDefault="005F3EE6">
    <w:pPr>
      <w:ind w:left="-120"/>
      <w:jc w:val="both"/>
      <w:rPr>
        <w:rFonts w:ascii="Calibri" w:eastAsia="Calibri" w:hAnsi="Calibri" w:cs="Calibri"/>
        <w:b/>
        <w:sz w:val="40"/>
        <w:szCs w:val="4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84D90D3" wp14:editId="584D90D4">
          <wp:simplePos x="0" y="0"/>
          <wp:positionH relativeFrom="column">
            <wp:posOffset>4114800</wp:posOffset>
          </wp:positionH>
          <wp:positionV relativeFrom="paragraph">
            <wp:posOffset>-304797</wp:posOffset>
          </wp:positionV>
          <wp:extent cx="1547842" cy="997267"/>
          <wp:effectExtent l="0" t="0" r="0" b="0"/>
          <wp:wrapSquare wrapText="bothSides" distT="114300" distB="114300" distL="114300" distR="11430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7842" cy="9972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4D90CF" w14:textId="77777777" w:rsidR="001E2DF8" w:rsidRPr="006B27A5" w:rsidRDefault="005F3EE6">
    <w:pPr>
      <w:ind w:left="-120"/>
      <w:jc w:val="both"/>
      <w:rPr>
        <w:rFonts w:ascii="Roboto" w:eastAsia="Nunito" w:hAnsi="Roboto" w:cs="Nunito"/>
        <w:sz w:val="22"/>
        <w:szCs w:val="22"/>
      </w:rPr>
    </w:pPr>
    <w:r w:rsidRPr="006B27A5">
      <w:rPr>
        <w:rFonts w:ascii="Roboto" w:eastAsia="Nunito" w:hAnsi="Roboto" w:cs="Nunito"/>
        <w:b/>
        <w:sz w:val="40"/>
        <w:szCs w:val="40"/>
      </w:rPr>
      <w:t>NOTA DE PRENSA</w:t>
    </w:r>
    <w:r w:rsidRPr="006B27A5">
      <w:rPr>
        <w:rFonts w:ascii="Roboto" w:eastAsia="Nunito" w:hAnsi="Roboto" w:cs="Nunito"/>
        <w:sz w:val="22"/>
        <w:szCs w:val="22"/>
      </w:rPr>
      <w:t xml:space="preserve"> </w:t>
    </w:r>
  </w:p>
  <w:p w14:paraId="584D90D0" w14:textId="77777777" w:rsidR="001E2DF8" w:rsidRDefault="001E2D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D0B32" w14:textId="77777777" w:rsidR="00103489" w:rsidRDefault="0010348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17D94"/>
    <w:multiLevelType w:val="multilevel"/>
    <w:tmpl w:val="BA7A4E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4435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DF8"/>
    <w:rsid w:val="000273D2"/>
    <w:rsid w:val="0003064F"/>
    <w:rsid w:val="00103489"/>
    <w:rsid w:val="00144DB5"/>
    <w:rsid w:val="001E2DF8"/>
    <w:rsid w:val="00247BD1"/>
    <w:rsid w:val="00292996"/>
    <w:rsid w:val="00324F55"/>
    <w:rsid w:val="00332FA6"/>
    <w:rsid w:val="00335A93"/>
    <w:rsid w:val="003459B2"/>
    <w:rsid w:val="0049257E"/>
    <w:rsid w:val="00496A77"/>
    <w:rsid w:val="00591460"/>
    <w:rsid w:val="005A2F3B"/>
    <w:rsid w:val="005A5FA1"/>
    <w:rsid w:val="005F3EE6"/>
    <w:rsid w:val="00620DF9"/>
    <w:rsid w:val="0064228C"/>
    <w:rsid w:val="00691797"/>
    <w:rsid w:val="00694FD4"/>
    <w:rsid w:val="006B27A5"/>
    <w:rsid w:val="00717EF4"/>
    <w:rsid w:val="007227C7"/>
    <w:rsid w:val="00760459"/>
    <w:rsid w:val="007C2D4F"/>
    <w:rsid w:val="008825F9"/>
    <w:rsid w:val="0088392C"/>
    <w:rsid w:val="008A7499"/>
    <w:rsid w:val="00905EE7"/>
    <w:rsid w:val="009139F7"/>
    <w:rsid w:val="0095079A"/>
    <w:rsid w:val="00976B48"/>
    <w:rsid w:val="00985A39"/>
    <w:rsid w:val="00A17F74"/>
    <w:rsid w:val="00A27389"/>
    <w:rsid w:val="00A604B2"/>
    <w:rsid w:val="00A71839"/>
    <w:rsid w:val="00A85A29"/>
    <w:rsid w:val="00B012EE"/>
    <w:rsid w:val="00B27E33"/>
    <w:rsid w:val="00B47CB1"/>
    <w:rsid w:val="00B721EC"/>
    <w:rsid w:val="00BC17CD"/>
    <w:rsid w:val="00C41DC4"/>
    <w:rsid w:val="00C73B59"/>
    <w:rsid w:val="00CD4477"/>
    <w:rsid w:val="00D82E56"/>
    <w:rsid w:val="00DC273D"/>
    <w:rsid w:val="00DF15B8"/>
    <w:rsid w:val="00E2231D"/>
    <w:rsid w:val="00E26105"/>
    <w:rsid w:val="00E92DF1"/>
    <w:rsid w:val="00F132A0"/>
    <w:rsid w:val="00F313FF"/>
    <w:rsid w:val="00F66312"/>
    <w:rsid w:val="00FD30E5"/>
    <w:rsid w:val="134891BB"/>
    <w:rsid w:val="20107D17"/>
    <w:rsid w:val="3EF07212"/>
    <w:rsid w:val="4654A579"/>
    <w:rsid w:val="5C5E6363"/>
    <w:rsid w:val="7FB0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D90A1"/>
  <w15:docId w15:val="{4CD85E73-1CEC-4D98-B74F-DBBACFA7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905EE7"/>
  </w:style>
  <w:style w:type="character" w:styleId="Refdecomentario">
    <w:name w:val="annotation reference"/>
    <w:basedOn w:val="Fuentedeprrafopredeter"/>
    <w:uiPriority w:val="99"/>
    <w:semiHidden/>
    <w:unhideWhenUsed/>
    <w:rsid w:val="00324F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24F5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4F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4F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4F55"/>
    <w:rPr>
      <w:b/>
      <w:bCs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7227C7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44D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4DB5"/>
  </w:style>
  <w:style w:type="paragraph" w:styleId="Piedepgina">
    <w:name w:val="footer"/>
    <w:basedOn w:val="Normal"/>
    <w:link w:val="PiedepginaCar"/>
    <w:uiPriority w:val="99"/>
    <w:unhideWhenUsed/>
    <w:rsid w:val="00144D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4DB5"/>
  </w:style>
  <w:style w:type="table" w:customStyle="1" w:styleId="TableNormal1">
    <w:name w:val="Table Normal1"/>
    <w:rsid w:val="00144DB5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ac.e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enac.es/web/enac/acreditacion-prestadores-servicios-confianz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vamc@varenga.e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nac.es/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yperlink" Target="https://www.itu.int/wtisd/es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52DE15686E4843A3780C010A78B13A" ma:contentTypeVersion="14" ma:contentTypeDescription="Crear nuevo documento." ma:contentTypeScope="" ma:versionID="8c82859fd4e960b8ffaef0e39e16015c">
  <xsd:schema xmlns:xsd="http://www.w3.org/2001/XMLSchema" xmlns:xs="http://www.w3.org/2001/XMLSchema" xmlns:p="http://schemas.microsoft.com/office/2006/metadata/properties" xmlns:ns2="6e290ce1-b2e7-4ccb-948d-a290ef611fa1" xmlns:ns3="909e21e3-a2e2-47ca-be0e-9c3a9bef9292" targetNamespace="http://schemas.microsoft.com/office/2006/metadata/properties" ma:root="true" ma:fieldsID="049ab530a684e88a73025cf0b0ecb7f7" ns2:_="" ns3:_="">
    <xsd:import namespace="6e290ce1-b2e7-4ccb-948d-a290ef611fa1"/>
    <xsd:import namespace="909e21e3-a2e2-47ca-be0e-9c3a9bef9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290ce1-b2e7-4ccb-948d-a290ef611f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e21e3-a2e2-47ca-be0e-9c3a9bef9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6efcf77-0706-4f8e-b256-a6b4bd8b1840}" ma:internalName="TaxCatchAll" ma:showField="CatchAllData" ma:web="909e21e3-a2e2-47ca-be0e-9c3a9bef9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290ce1-b2e7-4ccb-948d-a290ef611fa1">
      <Terms xmlns="http://schemas.microsoft.com/office/infopath/2007/PartnerControls"/>
    </lcf76f155ced4ddcb4097134ff3c332f>
    <TaxCatchAll xmlns="909e21e3-a2e2-47ca-be0e-9c3a9bef92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75C1D7-CFC2-4373-803B-BAE58D7D0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290ce1-b2e7-4ccb-948d-a290ef611fa1"/>
    <ds:schemaRef ds:uri="909e21e3-a2e2-47ca-be0e-9c3a9bef9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EECC3-4724-4376-90F6-D7B08955876B}">
  <ds:schemaRefs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6e290ce1-b2e7-4ccb-948d-a290ef611fa1"/>
    <ds:schemaRef ds:uri="http://schemas.microsoft.com/office/infopath/2007/PartnerControls"/>
    <ds:schemaRef ds:uri="909e21e3-a2e2-47ca-be0e-9c3a9bef9292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4923893-19D2-414D-9D34-9CDF06908E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Luis Borrego Nadal</dc:creator>
  <cp:keywords/>
  <cp:lastModifiedBy>Denise Diaz Pozo</cp:lastModifiedBy>
  <cp:revision>36</cp:revision>
  <dcterms:created xsi:type="dcterms:W3CDTF">2022-05-10T13:23:00Z</dcterms:created>
  <dcterms:modified xsi:type="dcterms:W3CDTF">2022-05-20T11:26:00Z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