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9CD98" w14:textId="77777777" w:rsidR="0057336E" w:rsidRDefault="0057336E">
      <w:pPr>
        <w:jc w:val="both"/>
        <w:rPr>
          <w:rFonts w:ascii="Roboto" w:eastAsia="Roboto" w:hAnsi="Roboto" w:cs="Roboto"/>
          <w:b/>
          <w:sz w:val="32"/>
          <w:szCs w:val="32"/>
        </w:rPr>
      </w:pPr>
    </w:p>
    <w:p w14:paraId="35E9CD99" w14:textId="77777777" w:rsidR="0057336E" w:rsidRDefault="00DE39D6">
      <w:pPr>
        <w:spacing w:line="276" w:lineRule="auto"/>
        <w:jc w:val="both"/>
        <w:rPr>
          <w:rFonts w:ascii="Roboto" w:eastAsia="Roboto" w:hAnsi="Roboto" w:cs="Roboto"/>
          <w:sz w:val="22"/>
          <w:szCs w:val="22"/>
          <w:u w:val="single"/>
        </w:rPr>
      </w:pPr>
      <w:r>
        <w:rPr>
          <w:rFonts w:ascii="Roboto" w:eastAsia="Roboto" w:hAnsi="Roboto" w:cs="Roboto"/>
          <w:sz w:val="22"/>
          <w:szCs w:val="22"/>
          <w:u w:val="single"/>
        </w:rPr>
        <w:t xml:space="preserve">Día Mundial de la Salud </w:t>
      </w:r>
    </w:p>
    <w:p w14:paraId="35E9CD9A" w14:textId="77777777" w:rsidR="0057336E" w:rsidRDefault="0057336E">
      <w:pPr>
        <w:spacing w:line="276" w:lineRule="auto"/>
        <w:jc w:val="both"/>
        <w:rPr>
          <w:rFonts w:ascii="Roboto" w:eastAsia="Roboto" w:hAnsi="Roboto" w:cs="Roboto"/>
          <w:sz w:val="22"/>
          <w:szCs w:val="22"/>
          <w:u w:val="single"/>
        </w:rPr>
      </w:pPr>
    </w:p>
    <w:p w14:paraId="35E9CD9B" w14:textId="77777777" w:rsidR="0057336E" w:rsidRDefault="00DE39D6">
      <w:pPr>
        <w:spacing w:line="276" w:lineRule="auto"/>
        <w:jc w:val="center"/>
        <w:rPr>
          <w:rFonts w:ascii="Roboto" w:eastAsia="Roboto" w:hAnsi="Roboto" w:cs="Roboto"/>
          <w:b/>
          <w:sz w:val="36"/>
          <w:szCs w:val="36"/>
          <w:highlight w:val="white"/>
        </w:rPr>
      </w:pPr>
      <w:r>
        <w:rPr>
          <w:rFonts w:ascii="Roboto" w:eastAsia="Roboto" w:hAnsi="Roboto" w:cs="Roboto"/>
          <w:b/>
          <w:sz w:val="36"/>
          <w:szCs w:val="36"/>
          <w:highlight w:val="white"/>
        </w:rPr>
        <w:t xml:space="preserve">Los servicios acreditados por ENAC contribuyen a una mayor protección de nuestra salud </w:t>
      </w:r>
    </w:p>
    <w:p w14:paraId="35E9CD9C" w14:textId="77777777" w:rsidR="0057336E" w:rsidRDefault="0057336E">
      <w:pPr>
        <w:spacing w:line="276" w:lineRule="auto"/>
        <w:jc w:val="center"/>
        <w:rPr>
          <w:rFonts w:ascii="Roboto" w:eastAsia="Roboto" w:hAnsi="Roboto" w:cs="Roboto"/>
          <w:b/>
          <w:sz w:val="36"/>
          <w:szCs w:val="36"/>
          <w:highlight w:val="white"/>
        </w:rPr>
      </w:pPr>
    </w:p>
    <w:p w14:paraId="35E9CD9D" w14:textId="0BD29B97" w:rsidR="0057336E" w:rsidRDefault="00DE39D6">
      <w:pPr>
        <w:numPr>
          <w:ilvl w:val="0"/>
          <w:numId w:val="1"/>
        </w:numPr>
        <w:jc w:val="both"/>
        <w:rPr>
          <w:rFonts w:ascii="Roboto" w:eastAsia="Roboto" w:hAnsi="Roboto" w:cs="Roboto"/>
          <w:b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</w:rPr>
        <w:t xml:space="preserve">Cada vez con mayor frecuencia, el sector público confía en la acreditación como mecanismo para </w:t>
      </w:r>
      <w:r w:rsidR="00E5170F">
        <w:rPr>
          <w:rFonts w:ascii="Roboto" w:eastAsia="Roboto" w:hAnsi="Roboto" w:cs="Roboto"/>
          <w:b/>
          <w:sz w:val="22"/>
          <w:szCs w:val="22"/>
        </w:rPr>
        <w:t>aportar garantías sobre la seguridad</w:t>
      </w:r>
      <w:r>
        <w:rPr>
          <w:rFonts w:ascii="Roboto" w:eastAsia="Roboto" w:hAnsi="Roboto" w:cs="Roboto"/>
          <w:b/>
          <w:sz w:val="22"/>
          <w:szCs w:val="22"/>
        </w:rPr>
        <w:t xml:space="preserve"> de actividades </w:t>
      </w:r>
      <w:r w:rsidR="00980F12">
        <w:rPr>
          <w:rFonts w:ascii="Roboto" w:eastAsia="Roboto" w:hAnsi="Roboto" w:cs="Roboto"/>
          <w:b/>
          <w:sz w:val="22"/>
          <w:szCs w:val="22"/>
        </w:rPr>
        <w:t xml:space="preserve">de evaluación de la conformidad </w:t>
      </w:r>
      <w:r w:rsidRPr="002E28AC" w:rsidDel="0047234F">
        <w:rPr>
          <w:rFonts w:ascii="Roboto" w:eastAsia="Roboto" w:hAnsi="Roboto" w:cs="Roboto"/>
          <w:b/>
          <w:sz w:val="22"/>
          <w:szCs w:val="22"/>
        </w:rPr>
        <w:t xml:space="preserve">que </w:t>
      </w:r>
      <w:r w:rsidRPr="002E28AC" w:rsidDel="00340396">
        <w:rPr>
          <w:rFonts w:ascii="Roboto" w:eastAsia="Roboto" w:hAnsi="Roboto" w:cs="Roboto"/>
          <w:b/>
          <w:sz w:val="22"/>
          <w:szCs w:val="22"/>
        </w:rPr>
        <w:t xml:space="preserve">inciden </w:t>
      </w:r>
      <w:r w:rsidRPr="002E28AC" w:rsidDel="0047234F">
        <w:rPr>
          <w:rFonts w:ascii="Roboto" w:eastAsia="Roboto" w:hAnsi="Roboto" w:cs="Roboto"/>
          <w:b/>
          <w:sz w:val="22"/>
          <w:szCs w:val="22"/>
        </w:rPr>
        <w:t>en la salud de las personas</w:t>
      </w:r>
      <w:r w:rsidR="003739DE">
        <w:rPr>
          <w:rFonts w:ascii="Roboto" w:eastAsia="Roboto" w:hAnsi="Roboto" w:cs="Roboto"/>
          <w:b/>
          <w:sz w:val="22"/>
          <w:szCs w:val="22"/>
        </w:rPr>
        <w:t xml:space="preserve"> </w:t>
      </w:r>
      <w:r w:rsidR="0047234F">
        <w:rPr>
          <w:rFonts w:ascii="Roboto" w:eastAsia="Roboto" w:hAnsi="Roboto" w:cs="Roboto"/>
          <w:b/>
          <w:sz w:val="22"/>
          <w:szCs w:val="22"/>
        </w:rPr>
        <w:t>en ámbitos como el sanitario o el medioambiental</w:t>
      </w:r>
    </w:p>
    <w:p w14:paraId="23ACA718" w14:textId="77777777" w:rsidR="002E28AC" w:rsidRDefault="002E28AC" w:rsidP="002E28AC">
      <w:pPr>
        <w:ind w:left="720"/>
        <w:jc w:val="both"/>
        <w:rPr>
          <w:rFonts w:ascii="Roboto" w:eastAsia="Roboto" w:hAnsi="Roboto" w:cs="Roboto"/>
          <w:b/>
          <w:sz w:val="22"/>
          <w:szCs w:val="22"/>
        </w:rPr>
      </w:pPr>
    </w:p>
    <w:p w14:paraId="35E9CD9E" w14:textId="77777777" w:rsidR="0057336E" w:rsidRDefault="0057336E">
      <w:pPr>
        <w:ind w:left="720"/>
        <w:jc w:val="both"/>
        <w:rPr>
          <w:rFonts w:ascii="Roboto" w:eastAsia="Roboto" w:hAnsi="Roboto" w:cs="Roboto"/>
          <w:b/>
          <w:color w:val="FF0000"/>
          <w:sz w:val="22"/>
          <w:szCs w:val="22"/>
        </w:rPr>
      </w:pPr>
    </w:p>
    <w:p w14:paraId="35E9CDA1" w14:textId="24950903" w:rsidR="0057336E" w:rsidRDefault="00DE39D6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Madrid, 7 de abril de 2022- </w:t>
      </w:r>
      <w:r>
        <w:rPr>
          <w:rFonts w:ascii="Roboto" w:eastAsia="Roboto" w:hAnsi="Roboto" w:cs="Roboto"/>
          <w:sz w:val="22"/>
          <w:szCs w:val="22"/>
          <w:highlight w:val="white"/>
        </w:rPr>
        <w:t xml:space="preserve">El Día Mundial de la Salud de 2022 se centrará en el tema </w:t>
      </w:r>
      <w:r>
        <w:rPr>
          <w:rFonts w:ascii="Roboto" w:eastAsia="Roboto" w:hAnsi="Roboto" w:cs="Roboto"/>
          <w:i/>
          <w:sz w:val="22"/>
          <w:szCs w:val="22"/>
          <w:highlight w:val="white"/>
        </w:rPr>
        <w:t>«Nuestro planeta, nuestra salud»</w:t>
      </w:r>
      <w:r>
        <w:rPr>
          <w:rFonts w:ascii="Roboto" w:eastAsia="Roboto" w:hAnsi="Roboto" w:cs="Roboto"/>
          <w:sz w:val="22"/>
          <w:szCs w:val="22"/>
          <w:highlight w:val="white"/>
        </w:rPr>
        <w:t xml:space="preserve">, con el que la </w:t>
      </w:r>
      <w:hyperlink r:id="rId11">
        <w:r>
          <w:rPr>
            <w:rFonts w:ascii="Roboto" w:eastAsia="Roboto" w:hAnsi="Roboto" w:cs="Roboto"/>
            <w:color w:val="1155CC"/>
            <w:sz w:val="22"/>
            <w:szCs w:val="22"/>
            <w:highlight w:val="white"/>
            <w:u w:val="single"/>
          </w:rPr>
          <w:t>Organización Mundial de la Salud</w:t>
        </w:r>
      </w:hyperlink>
      <w:r>
        <w:rPr>
          <w:rFonts w:ascii="Roboto" w:eastAsia="Roboto" w:hAnsi="Roboto" w:cs="Roboto"/>
          <w:sz w:val="22"/>
          <w:szCs w:val="22"/>
          <w:highlight w:val="white"/>
        </w:rPr>
        <w:t xml:space="preserve"> (OMS) llama </w:t>
      </w:r>
      <w:r w:rsidRPr="002E28AC">
        <w:rPr>
          <w:rFonts w:ascii="Roboto" w:eastAsia="Roboto" w:hAnsi="Roboto" w:cs="Roboto"/>
          <w:sz w:val="22"/>
          <w:szCs w:val="22"/>
        </w:rPr>
        <w:t xml:space="preserve">la atención sobre las medidas urgentes que se necesitan </w:t>
      </w:r>
      <w:r w:rsidR="007549B7" w:rsidRPr="002E28AC">
        <w:rPr>
          <w:rFonts w:ascii="Roboto" w:eastAsia="Roboto" w:hAnsi="Roboto" w:cs="Roboto"/>
          <w:sz w:val="22"/>
          <w:szCs w:val="22"/>
        </w:rPr>
        <w:t xml:space="preserve">implementar </w:t>
      </w:r>
      <w:r w:rsidRPr="002E28AC">
        <w:rPr>
          <w:rFonts w:ascii="Roboto" w:eastAsia="Roboto" w:hAnsi="Roboto" w:cs="Roboto"/>
          <w:sz w:val="22"/>
          <w:szCs w:val="22"/>
        </w:rPr>
        <w:t xml:space="preserve">para mantener la salud de </w:t>
      </w:r>
      <w:r w:rsidR="004D13BF" w:rsidRPr="002E28AC">
        <w:rPr>
          <w:rFonts w:ascii="Roboto" w:eastAsia="Roboto" w:hAnsi="Roboto" w:cs="Roboto"/>
          <w:sz w:val="22"/>
          <w:szCs w:val="22"/>
        </w:rPr>
        <w:t xml:space="preserve">las personas y proteger el planeta a la vez que </w:t>
      </w:r>
      <w:r>
        <w:rPr>
          <w:rFonts w:ascii="Roboto" w:eastAsia="Roboto" w:hAnsi="Roboto" w:cs="Roboto"/>
          <w:sz w:val="22"/>
          <w:szCs w:val="22"/>
        </w:rPr>
        <w:t>alerta de las consecuencias de la contaminación, la degradación del suelo, la escasez de agua y seguridad alimentaria, o de los efectos de las emisiones de gases de efecto invernadero sobre la salud de las personas</w:t>
      </w:r>
      <w:r w:rsidR="0022051D">
        <w:rPr>
          <w:rFonts w:ascii="Roboto" w:eastAsia="Roboto" w:hAnsi="Roboto" w:cs="Roboto"/>
          <w:sz w:val="22"/>
          <w:szCs w:val="22"/>
        </w:rPr>
        <w:t>, entre otros</w:t>
      </w:r>
      <w:r>
        <w:rPr>
          <w:rFonts w:ascii="Roboto" w:eastAsia="Roboto" w:hAnsi="Roboto" w:cs="Roboto"/>
          <w:sz w:val="22"/>
          <w:szCs w:val="22"/>
        </w:rPr>
        <w:t xml:space="preserve">. </w:t>
      </w:r>
    </w:p>
    <w:p w14:paraId="35E9CDA2" w14:textId="77777777" w:rsidR="0057336E" w:rsidRDefault="0057336E">
      <w:pPr>
        <w:jc w:val="both"/>
        <w:rPr>
          <w:rFonts w:ascii="Roboto" w:eastAsia="Roboto" w:hAnsi="Roboto" w:cs="Roboto"/>
          <w:sz w:val="22"/>
          <w:szCs w:val="22"/>
        </w:rPr>
      </w:pPr>
    </w:p>
    <w:p w14:paraId="35E9CDA3" w14:textId="2682CE92" w:rsidR="0057336E" w:rsidRDefault="00DE39D6">
      <w:pPr>
        <w:spacing w:after="160" w:line="259" w:lineRule="auto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Las entidades acreditadas por la </w:t>
      </w:r>
      <w:hyperlink r:id="rId12">
        <w:r>
          <w:rPr>
            <w:rFonts w:ascii="Roboto" w:eastAsia="Roboto" w:hAnsi="Roboto" w:cs="Roboto"/>
            <w:color w:val="1155CC"/>
            <w:sz w:val="22"/>
            <w:szCs w:val="22"/>
            <w:u w:val="single"/>
          </w:rPr>
          <w:t>Entidad Nacional de Acreditación</w:t>
        </w:r>
      </w:hyperlink>
      <w:r>
        <w:rPr>
          <w:rFonts w:ascii="Roboto" w:eastAsia="Roboto" w:hAnsi="Roboto" w:cs="Roboto"/>
          <w:sz w:val="22"/>
          <w:szCs w:val="22"/>
        </w:rPr>
        <w:t xml:space="preserve"> (ENAC) son una herramienta al servicio de la sociedad, el mercado y la Administración para controlar los </w:t>
      </w:r>
      <w:r w:rsidRPr="00A004CE">
        <w:rPr>
          <w:rFonts w:ascii="Roboto" w:eastAsia="Roboto" w:hAnsi="Roboto" w:cs="Roboto"/>
          <w:sz w:val="22"/>
          <w:szCs w:val="22"/>
        </w:rPr>
        <w:t>riesgos asociados</w:t>
      </w:r>
      <w:r>
        <w:rPr>
          <w:rFonts w:ascii="Roboto" w:eastAsia="Roboto" w:hAnsi="Roboto" w:cs="Roboto"/>
          <w:sz w:val="22"/>
          <w:szCs w:val="22"/>
        </w:rPr>
        <w:t xml:space="preserve"> a la salud, aportando garantías sobre la competencia técnica de las organizaciones para emitir resultados fiables </w:t>
      </w:r>
      <w:r w:rsidRPr="00F20215">
        <w:rPr>
          <w:rFonts w:ascii="Roboto" w:eastAsia="Roboto" w:hAnsi="Roboto" w:cs="Roboto"/>
          <w:sz w:val="22"/>
          <w:szCs w:val="22"/>
        </w:rPr>
        <w:t xml:space="preserve">en servicios </w:t>
      </w:r>
      <w:r w:rsidR="0030472D">
        <w:rPr>
          <w:rFonts w:ascii="Roboto" w:eastAsia="Roboto" w:hAnsi="Roboto" w:cs="Roboto"/>
          <w:sz w:val="22"/>
          <w:szCs w:val="22"/>
        </w:rPr>
        <w:t xml:space="preserve">y actividades </w:t>
      </w:r>
      <w:r w:rsidR="00CD09C7">
        <w:rPr>
          <w:rFonts w:ascii="Roboto" w:eastAsia="Roboto" w:hAnsi="Roboto" w:cs="Roboto"/>
          <w:sz w:val="22"/>
          <w:szCs w:val="22"/>
        </w:rPr>
        <w:t>no solo del</w:t>
      </w:r>
      <w:r w:rsidR="0030472D">
        <w:rPr>
          <w:rFonts w:ascii="Roboto" w:eastAsia="Roboto" w:hAnsi="Roboto" w:cs="Roboto"/>
          <w:sz w:val="22"/>
          <w:szCs w:val="22"/>
        </w:rPr>
        <w:t xml:space="preserve"> sector sanitario</w:t>
      </w:r>
      <w:r w:rsidR="00CD09C7">
        <w:rPr>
          <w:rFonts w:ascii="Roboto" w:eastAsia="Roboto" w:hAnsi="Roboto" w:cs="Roboto"/>
          <w:sz w:val="22"/>
          <w:szCs w:val="22"/>
        </w:rPr>
        <w:t xml:space="preserve"> sino también del </w:t>
      </w:r>
      <w:r w:rsidR="0030472D">
        <w:rPr>
          <w:rFonts w:ascii="Roboto" w:eastAsia="Roboto" w:hAnsi="Roboto" w:cs="Roboto"/>
          <w:sz w:val="22"/>
          <w:szCs w:val="22"/>
        </w:rPr>
        <w:t>medioambiental</w:t>
      </w:r>
      <w:r w:rsidR="001762F1">
        <w:rPr>
          <w:rFonts w:ascii="Roboto" w:eastAsia="Roboto" w:hAnsi="Roboto" w:cs="Roboto"/>
          <w:sz w:val="22"/>
          <w:szCs w:val="22"/>
        </w:rPr>
        <w:t xml:space="preserve"> </w:t>
      </w:r>
      <w:r w:rsidR="005E3B13">
        <w:rPr>
          <w:rFonts w:ascii="Roboto" w:eastAsia="Roboto" w:hAnsi="Roboto" w:cs="Roboto"/>
          <w:sz w:val="22"/>
          <w:szCs w:val="22"/>
        </w:rPr>
        <w:t xml:space="preserve">o el </w:t>
      </w:r>
      <w:r w:rsidR="001762F1">
        <w:rPr>
          <w:rFonts w:ascii="Roboto" w:eastAsia="Roboto" w:hAnsi="Roboto" w:cs="Roboto"/>
          <w:sz w:val="22"/>
          <w:szCs w:val="22"/>
        </w:rPr>
        <w:t>de la alimentación</w:t>
      </w:r>
      <w:r w:rsidR="005E3B13">
        <w:rPr>
          <w:rFonts w:ascii="Roboto" w:eastAsia="Roboto" w:hAnsi="Roboto" w:cs="Roboto"/>
          <w:sz w:val="22"/>
          <w:szCs w:val="22"/>
        </w:rPr>
        <w:t xml:space="preserve">, que </w:t>
      </w:r>
      <w:r w:rsidR="00DB33DC">
        <w:rPr>
          <w:rFonts w:ascii="Roboto" w:eastAsia="Roboto" w:hAnsi="Roboto" w:cs="Roboto"/>
          <w:sz w:val="22"/>
          <w:szCs w:val="22"/>
        </w:rPr>
        <w:t xml:space="preserve">inciden de manera </w:t>
      </w:r>
      <w:r w:rsidR="0032739E">
        <w:rPr>
          <w:rFonts w:ascii="Roboto" w:eastAsia="Roboto" w:hAnsi="Roboto" w:cs="Roboto"/>
          <w:sz w:val="22"/>
          <w:szCs w:val="22"/>
        </w:rPr>
        <w:t xml:space="preserve">directa en </w:t>
      </w:r>
      <w:r w:rsidR="0045693C">
        <w:rPr>
          <w:rFonts w:ascii="Roboto" w:eastAsia="Roboto" w:hAnsi="Roboto" w:cs="Roboto"/>
          <w:sz w:val="22"/>
          <w:szCs w:val="22"/>
        </w:rPr>
        <w:t>el bienestar de las personas</w:t>
      </w:r>
      <w:r w:rsidR="001762F1">
        <w:rPr>
          <w:rFonts w:ascii="Roboto" w:eastAsia="Roboto" w:hAnsi="Roboto" w:cs="Roboto"/>
          <w:sz w:val="22"/>
          <w:szCs w:val="22"/>
        </w:rPr>
        <w:t xml:space="preserve">. </w:t>
      </w:r>
    </w:p>
    <w:p w14:paraId="43BFE5CF" w14:textId="77777777" w:rsidR="00D122CB" w:rsidRDefault="00D122CB" w:rsidP="00D122CB">
      <w:pPr>
        <w:jc w:val="both"/>
        <w:rPr>
          <w:rFonts w:ascii="Roboto" w:eastAsia="Roboto" w:hAnsi="Roboto" w:cs="Roboto"/>
          <w:b/>
          <w:sz w:val="22"/>
          <w:szCs w:val="22"/>
          <w:highlight w:val="yellow"/>
          <w:u w:val="single"/>
        </w:rPr>
      </w:pPr>
    </w:p>
    <w:p w14:paraId="2BCF871C" w14:textId="7E7E2618" w:rsidR="00D122CB" w:rsidRDefault="00617281" w:rsidP="00D122CB">
      <w:pPr>
        <w:jc w:val="both"/>
        <w:rPr>
          <w:rFonts w:ascii="Roboto" w:eastAsia="Roboto" w:hAnsi="Roboto" w:cs="Roboto"/>
          <w:b/>
          <w:sz w:val="22"/>
          <w:szCs w:val="22"/>
          <w:highlight w:val="white"/>
          <w:u w:val="single"/>
        </w:rPr>
      </w:pPr>
      <w:r>
        <w:rPr>
          <w:rFonts w:ascii="Roboto" w:eastAsia="Roboto" w:hAnsi="Roboto" w:cs="Roboto"/>
          <w:b/>
          <w:sz w:val="22"/>
          <w:szCs w:val="22"/>
          <w:highlight w:val="white"/>
          <w:u w:val="single"/>
        </w:rPr>
        <w:t>Servicios diagnósticos</w:t>
      </w:r>
      <w:r w:rsidR="00073A84">
        <w:rPr>
          <w:rFonts w:ascii="Roboto" w:eastAsia="Roboto" w:hAnsi="Roboto" w:cs="Roboto"/>
          <w:b/>
          <w:sz w:val="22"/>
          <w:szCs w:val="22"/>
          <w:highlight w:val="white"/>
          <w:u w:val="single"/>
        </w:rPr>
        <w:t xml:space="preserve"> con m</w:t>
      </w:r>
      <w:r w:rsidR="007430BD">
        <w:rPr>
          <w:rFonts w:ascii="Roboto" w:eastAsia="Roboto" w:hAnsi="Roboto" w:cs="Roboto"/>
          <w:b/>
          <w:sz w:val="22"/>
          <w:szCs w:val="22"/>
          <w:highlight w:val="white"/>
          <w:u w:val="single"/>
        </w:rPr>
        <w:t>ayores garantías</w:t>
      </w:r>
      <w:r w:rsidR="00906716">
        <w:rPr>
          <w:rFonts w:ascii="Roboto" w:eastAsia="Roboto" w:hAnsi="Roboto" w:cs="Roboto"/>
          <w:b/>
          <w:sz w:val="22"/>
          <w:szCs w:val="22"/>
          <w:highlight w:val="white"/>
          <w:u w:val="single"/>
        </w:rPr>
        <w:t xml:space="preserve"> </w:t>
      </w:r>
    </w:p>
    <w:p w14:paraId="537F08D9" w14:textId="77777777" w:rsidR="00D122CB" w:rsidRDefault="00D122CB" w:rsidP="00D122CB">
      <w:pPr>
        <w:jc w:val="both"/>
        <w:rPr>
          <w:rFonts w:ascii="Roboto" w:eastAsia="Roboto" w:hAnsi="Roboto" w:cs="Roboto"/>
          <w:sz w:val="22"/>
          <w:szCs w:val="22"/>
          <w:highlight w:val="white"/>
        </w:rPr>
      </w:pPr>
    </w:p>
    <w:p w14:paraId="2BC0F601" w14:textId="087509F8" w:rsidR="003E2B02" w:rsidRDefault="003E2B02" w:rsidP="003E2B02">
      <w:pPr>
        <w:jc w:val="both"/>
        <w:rPr>
          <w:rFonts w:ascii="Roboto" w:eastAsia="Roboto" w:hAnsi="Roboto" w:cs="Roboto"/>
          <w:color w:val="000000" w:themeColor="text1"/>
          <w:sz w:val="22"/>
          <w:szCs w:val="22"/>
          <w:highlight w:val="white"/>
        </w:rPr>
      </w:pPr>
      <w:r w:rsidRPr="002E28AC">
        <w:rPr>
          <w:rFonts w:ascii="Roboto" w:eastAsia="Roboto" w:hAnsi="Roboto" w:cs="Roboto"/>
          <w:color w:val="000000" w:themeColor="text1"/>
          <w:sz w:val="22"/>
          <w:szCs w:val="22"/>
          <w:highlight w:val="white"/>
        </w:rPr>
        <w:t xml:space="preserve">Los </w:t>
      </w:r>
      <w:r w:rsidRPr="002E28AC">
        <w:rPr>
          <w:rFonts w:ascii="Roboto" w:eastAsia="Roboto" w:hAnsi="Roboto" w:cs="Roboto"/>
          <w:b/>
          <w:color w:val="000000" w:themeColor="text1"/>
          <w:sz w:val="22"/>
          <w:szCs w:val="22"/>
          <w:highlight w:val="white"/>
        </w:rPr>
        <w:t>servicios diagnósticos acreditados conforme a la norma UNE-EN ISO 15189</w:t>
      </w:r>
      <w:r w:rsidR="00902324">
        <w:rPr>
          <w:rFonts w:ascii="Roboto" w:eastAsia="Roboto" w:hAnsi="Roboto" w:cs="Roboto"/>
          <w:b/>
          <w:color w:val="000000" w:themeColor="text1"/>
          <w:sz w:val="22"/>
          <w:szCs w:val="22"/>
          <w:highlight w:val="white"/>
        </w:rPr>
        <w:t xml:space="preserve">, </w:t>
      </w:r>
      <w:r w:rsidR="00902324">
        <w:rPr>
          <w:rFonts w:ascii="Roboto" w:eastAsia="Roboto" w:hAnsi="Roboto" w:cs="Roboto"/>
          <w:bCs/>
          <w:color w:val="000000" w:themeColor="text1"/>
          <w:sz w:val="22"/>
          <w:szCs w:val="22"/>
          <w:highlight w:val="white"/>
        </w:rPr>
        <w:t xml:space="preserve">entre los que se encuentran </w:t>
      </w:r>
      <w:r w:rsidR="00902324" w:rsidRPr="0026436D">
        <w:rPr>
          <w:rFonts w:ascii="Roboto" w:eastAsia="Roboto" w:hAnsi="Roboto" w:cs="Roboto"/>
          <w:color w:val="000000" w:themeColor="text1"/>
          <w:sz w:val="22"/>
          <w:szCs w:val="22"/>
          <w:highlight w:val="white"/>
        </w:rPr>
        <w:t xml:space="preserve">los proporcionados por laboratorios clínicos, servicios de anatomía patológica, estudios de diagnóstico por la imagen (radiografía, ultrasonografía, etc.), análisis que se realizan junto al paciente (POCT, </w:t>
      </w:r>
      <w:proofErr w:type="spellStart"/>
      <w:r w:rsidR="00902324" w:rsidRPr="002E28AC">
        <w:rPr>
          <w:rFonts w:ascii="Roboto" w:eastAsia="Roboto" w:hAnsi="Roboto" w:cs="Roboto"/>
          <w:i/>
          <w:iCs/>
          <w:color w:val="000000" w:themeColor="text1"/>
          <w:sz w:val="22"/>
          <w:szCs w:val="22"/>
          <w:highlight w:val="white"/>
        </w:rPr>
        <w:t>point</w:t>
      </w:r>
      <w:proofErr w:type="spellEnd"/>
      <w:r w:rsidR="00494EAF">
        <w:rPr>
          <w:rFonts w:ascii="Roboto" w:eastAsia="Roboto" w:hAnsi="Roboto" w:cs="Roboto"/>
          <w:i/>
          <w:iCs/>
          <w:color w:val="000000" w:themeColor="text1"/>
          <w:sz w:val="22"/>
          <w:szCs w:val="22"/>
          <w:highlight w:val="white"/>
        </w:rPr>
        <w:t>-</w:t>
      </w:r>
      <w:proofErr w:type="spellStart"/>
      <w:r w:rsidR="00902324" w:rsidRPr="002E28AC">
        <w:rPr>
          <w:rFonts w:ascii="Roboto" w:eastAsia="Roboto" w:hAnsi="Roboto" w:cs="Roboto"/>
          <w:i/>
          <w:iCs/>
          <w:color w:val="000000" w:themeColor="text1"/>
          <w:sz w:val="22"/>
          <w:szCs w:val="22"/>
          <w:highlight w:val="white"/>
        </w:rPr>
        <w:t>of</w:t>
      </w:r>
      <w:proofErr w:type="spellEnd"/>
      <w:r w:rsidR="00494EAF">
        <w:rPr>
          <w:rFonts w:ascii="Roboto" w:eastAsia="Roboto" w:hAnsi="Roboto" w:cs="Roboto"/>
          <w:i/>
          <w:iCs/>
          <w:color w:val="000000" w:themeColor="text1"/>
          <w:sz w:val="22"/>
          <w:szCs w:val="22"/>
          <w:highlight w:val="white"/>
        </w:rPr>
        <w:t>-</w:t>
      </w:r>
      <w:r w:rsidR="00902324" w:rsidRPr="002E28AC">
        <w:rPr>
          <w:rFonts w:ascii="Roboto" w:eastAsia="Roboto" w:hAnsi="Roboto" w:cs="Roboto"/>
          <w:i/>
          <w:iCs/>
          <w:color w:val="000000" w:themeColor="text1"/>
          <w:sz w:val="22"/>
          <w:szCs w:val="22"/>
          <w:highlight w:val="white"/>
        </w:rPr>
        <w:t xml:space="preserve">care </w:t>
      </w:r>
      <w:proofErr w:type="spellStart"/>
      <w:r w:rsidR="00902324" w:rsidRPr="002E28AC">
        <w:rPr>
          <w:rFonts w:ascii="Roboto" w:eastAsia="Roboto" w:hAnsi="Roboto" w:cs="Roboto"/>
          <w:i/>
          <w:iCs/>
          <w:color w:val="000000" w:themeColor="text1"/>
          <w:sz w:val="22"/>
          <w:szCs w:val="22"/>
          <w:highlight w:val="white"/>
        </w:rPr>
        <w:t>testing</w:t>
      </w:r>
      <w:proofErr w:type="spellEnd"/>
      <w:r w:rsidR="00902324" w:rsidRPr="0026436D">
        <w:rPr>
          <w:rFonts w:ascii="Roboto" w:eastAsia="Roboto" w:hAnsi="Roboto" w:cs="Roboto"/>
          <w:color w:val="000000" w:themeColor="text1"/>
          <w:sz w:val="22"/>
          <w:szCs w:val="22"/>
          <w:highlight w:val="white"/>
        </w:rPr>
        <w:t>)</w:t>
      </w:r>
      <w:r w:rsidR="00902324">
        <w:rPr>
          <w:rFonts w:ascii="Roboto" w:eastAsia="Roboto" w:hAnsi="Roboto" w:cs="Roboto"/>
          <w:color w:val="000000" w:themeColor="text1"/>
          <w:sz w:val="22"/>
          <w:szCs w:val="22"/>
          <w:highlight w:val="white"/>
        </w:rPr>
        <w:t>, etc.,</w:t>
      </w:r>
      <w:r w:rsidRPr="002E28AC">
        <w:rPr>
          <w:rFonts w:ascii="Roboto" w:eastAsia="Roboto" w:hAnsi="Roboto" w:cs="Roboto"/>
          <w:color w:val="000000" w:themeColor="text1"/>
          <w:sz w:val="22"/>
          <w:szCs w:val="22"/>
          <w:highlight w:val="white"/>
        </w:rPr>
        <w:t xml:space="preserve"> </w:t>
      </w:r>
      <w:r w:rsidRPr="002E28AC">
        <w:rPr>
          <w:rFonts w:ascii="Roboto" w:eastAsia="Roboto" w:hAnsi="Roboto" w:cs="Roboto"/>
          <w:b/>
          <w:color w:val="000000" w:themeColor="text1"/>
          <w:sz w:val="22"/>
          <w:szCs w:val="22"/>
          <w:highlight w:val="white"/>
        </w:rPr>
        <w:t>son fundamentales para asegurar que las decisiones clínicas se toman en base a resultados fiables</w:t>
      </w:r>
      <w:r w:rsidRPr="002E28AC">
        <w:rPr>
          <w:rFonts w:ascii="Roboto" w:eastAsia="Roboto" w:hAnsi="Roboto" w:cs="Roboto"/>
          <w:color w:val="000000" w:themeColor="text1"/>
          <w:sz w:val="22"/>
          <w:szCs w:val="22"/>
          <w:highlight w:val="white"/>
        </w:rPr>
        <w:t>, minimiza</w:t>
      </w:r>
      <w:r w:rsidR="00A42EC2">
        <w:rPr>
          <w:rFonts w:ascii="Roboto" w:eastAsia="Roboto" w:hAnsi="Roboto" w:cs="Roboto"/>
          <w:color w:val="000000" w:themeColor="text1"/>
          <w:sz w:val="22"/>
          <w:szCs w:val="22"/>
          <w:highlight w:val="white"/>
        </w:rPr>
        <w:t>ndo</w:t>
      </w:r>
      <w:r w:rsidRPr="002E28AC">
        <w:rPr>
          <w:rFonts w:ascii="Roboto" w:eastAsia="Roboto" w:hAnsi="Roboto" w:cs="Roboto"/>
          <w:color w:val="000000" w:themeColor="text1"/>
          <w:sz w:val="22"/>
          <w:szCs w:val="22"/>
          <w:highlight w:val="white"/>
        </w:rPr>
        <w:t xml:space="preserve"> así posibles riesgos en la </w:t>
      </w:r>
      <w:r w:rsidRPr="002E28AC">
        <w:rPr>
          <w:rFonts w:ascii="Roboto" w:eastAsia="Roboto" w:hAnsi="Roboto" w:cs="Roboto"/>
          <w:b/>
          <w:color w:val="000000" w:themeColor="text1"/>
          <w:sz w:val="22"/>
          <w:szCs w:val="22"/>
          <w:highlight w:val="white"/>
        </w:rPr>
        <w:t>seguridad del paciente</w:t>
      </w:r>
      <w:r w:rsidRPr="002E28AC">
        <w:rPr>
          <w:rFonts w:ascii="Roboto" w:eastAsia="Roboto" w:hAnsi="Roboto" w:cs="Roboto"/>
          <w:color w:val="000000" w:themeColor="text1"/>
          <w:sz w:val="22"/>
          <w:szCs w:val="22"/>
          <w:highlight w:val="white"/>
        </w:rPr>
        <w:t xml:space="preserve"> y aumenta</w:t>
      </w:r>
      <w:r w:rsidR="00A42EC2">
        <w:rPr>
          <w:rFonts w:ascii="Roboto" w:eastAsia="Roboto" w:hAnsi="Roboto" w:cs="Roboto"/>
          <w:color w:val="000000" w:themeColor="text1"/>
          <w:sz w:val="22"/>
          <w:szCs w:val="22"/>
          <w:highlight w:val="white"/>
        </w:rPr>
        <w:t>ndo</w:t>
      </w:r>
      <w:r w:rsidRPr="002E28AC">
        <w:rPr>
          <w:rFonts w:ascii="Roboto" w:eastAsia="Roboto" w:hAnsi="Roboto" w:cs="Roboto"/>
          <w:color w:val="000000" w:themeColor="text1"/>
          <w:sz w:val="22"/>
          <w:szCs w:val="22"/>
          <w:highlight w:val="white"/>
        </w:rPr>
        <w:t xml:space="preserve"> la calidad diagnóstica. </w:t>
      </w:r>
    </w:p>
    <w:p w14:paraId="3695C6A8" w14:textId="77777777" w:rsidR="00603F36" w:rsidRDefault="00603F36" w:rsidP="003E2B02">
      <w:pPr>
        <w:jc w:val="both"/>
        <w:rPr>
          <w:rFonts w:ascii="Roboto" w:eastAsia="Roboto" w:hAnsi="Roboto" w:cs="Roboto"/>
          <w:color w:val="000000" w:themeColor="text1"/>
          <w:sz w:val="22"/>
          <w:szCs w:val="22"/>
          <w:highlight w:val="white"/>
        </w:rPr>
      </w:pPr>
    </w:p>
    <w:p w14:paraId="5FE9E9F3" w14:textId="77777777" w:rsidR="003E2B02" w:rsidRDefault="003E2B02" w:rsidP="00D122CB">
      <w:pPr>
        <w:jc w:val="both"/>
        <w:rPr>
          <w:rFonts w:ascii="Roboto" w:eastAsia="Roboto" w:hAnsi="Roboto" w:cs="Roboto"/>
          <w:sz w:val="22"/>
          <w:szCs w:val="22"/>
        </w:rPr>
      </w:pPr>
    </w:p>
    <w:p w14:paraId="4A179E73" w14:textId="07B591CD" w:rsidR="007C2F4E" w:rsidRDefault="007C2F4E" w:rsidP="00871F91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  <w:highlight w:val="white"/>
          <w:u w:val="single"/>
        </w:rPr>
        <w:t>P</w:t>
      </w:r>
      <w:r w:rsidR="00D879BC">
        <w:rPr>
          <w:rFonts w:ascii="Roboto" w:eastAsia="Roboto" w:hAnsi="Roboto" w:cs="Roboto"/>
          <w:b/>
          <w:sz w:val="22"/>
          <w:szCs w:val="22"/>
          <w:highlight w:val="white"/>
          <w:u w:val="single"/>
        </w:rPr>
        <w:t>rotección medioambiental</w:t>
      </w:r>
      <w:r w:rsidR="00D879BC" w:rsidDel="00D10F77">
        <w:rPr>
          <w:rFonts w:ascii="Roboto" w:eastAsia="Roboto" w:hAnsi="Roboto" w:cs="Roboto"/>
          <w:sz w:val="22"/>
          <w:szCs w:val="22"/>
        </w:rPr>
        <w:t xml:space="preserve"> </w:t>
      </w:r>
    </w:p>
    <w:p w14:paraId="6E1AE7C7" w14:textId="77777777" w:rsidR="00EF392C" w:rsidRDefault="00EF392C" w:rsidP="00871F91">
      <w:pPr>
        <w:jc w:val="both"/>
        <w:rPr>
          <w:rFonts w:ascii="Roboto" w:eastAsia="Roboto" w:hAnsi="Roboto" w:cs="Roboto"/>
          <w:sz w:val="22"/>
          <w:szCs w:val="22"/>
        </w:rPr>
      </w:pPr>
    </w:p>
    <w:p w14:paraId="2A20B86C" w14:textId="31672619" w:rsidR="004978E5" w:rsidRDefault="00AA5BE3" w:rsidP="004978E5">
      <w:pPr>
        <w:jc w:val="both"/>
        <w:rPr>
          <w:rFonts w:ascii="Roboto" w:eastAsia="Roboto" w:hAnsi="Roboto" w:cs="Roboto"/>
          <w:sz w:val="22"/>
          <w:szCs w:val="22"/>
          <w:highlight w:val="white"/>
        </w:rPr>
      </w:pPr>
      <w:r>
        <w:rPr>
          <w:rFonts w:ascii="Roboto" w:eastAsia="Roboto" w:hAnsi="Roboto" w:cs="Roboto"/>
          <w:sz w:val="22"/>
          <w:szCs w:val="22"/>
        </w:rPr>
        <w:t xml:space="preserve">La </w:t>
      </w:r>
      <w:r w:rsidR="00871F91">
        <w:rPr>
          <w:rFonts w:ascii="Roboto" w:eastAsia="Roboto" w:hAnsi="Roboto" w:cs="Roboto"/>
          <w:sz w:val="22"/>
          <w:szCs w:val="22"/>
        </w:rPr>
        <w:t xml:space="preserve">protección y el control ambiental es una cuestión de gran importancia para </w:t>
      </w:r>
      <w:r w:rsidR="00F460B6">
        <w:rPr>
          <w:rFonts w:ascii="Roboto" w:eastAsia="Roboto" w:hAnsi="Roboto" w:cs="Roboto"/>
          <w:sz w:val="22"/>
          <w:szCs w:val="22"/>
        </w:rPr>
        <w:t>la salud de las personas</w:t>
      </w:r>
      <w:r w:rsidR="00FA310A">
        <w:rPr>
          <w:rFonts w:ascii="Roboto" w:eastAsia="Roboto" w:hAnsi="Roboto" w:cs="Roboto"/>
          <w:sz w:val="22"/>
          <w:szCs w:val="22"/>
        </w:rPr>
        <w:t xml:space="preserve">, </w:t>
      </w:r>
      <w:r w:rsidR="003344D1">
        <w:rPr>
          <w:rFonts w:ascii="Roboto" w:eastAsia="Roboto" w:hAnsi="Roboto" w:cs="Roboto"/>
          <w:sz w:val="22"/>
          <w:szCs w:val="22"/>
        </w:rPr>
        <w:t>por ello</w:t>
      </w:r>
      <w:r w:rsidR="0072048A">
        <w:rPr>
          <w:rFonts w:ascii="Roboto" w:eastAsia="Roboto" w:hAnsi="Roboto" w:cs="Roboto"/>
          <w:sz w:val="22"/>
          <w:szCs w:val="22"/>
        </w:rPr>
        <w:t>,</w:t>
      </w:r>
      <w:r w:rsidR="003344D1">
        <w:rPr>
          <w:rFonts w:ascii="Roboto" w:eastAsia="Roboto" w:hAnsi="Roboto" w:cs="Roboto"/>
          <w:sz w:val="22"/>
          <w:szCs w:val="22"/>
        </w:rPr>
        <w:t xml:space="preserve"> </w:t>
      </w:r>
      <w:r w:rsidR="00F221FE">
        <w:rPr>
          <w:rFonts w:ascii="Roboto" w:eastAsia="Roboto" w:hAnsi="Roboto" w:cs="Roboto"/>
          <w:sz w:val="22"/>
          <w:szCs w:val="22"/>
        </w:rPr>
        <w:t>los poderes públicos recurren</w:t>
      </w:r>
      <w:r w:rsidR="00980DC6">
        <w:rPr>
          <w:rFonts w:ascii="Roboto" w:eastAsia="Roboto" w:hAnsi="Roboto" w:cs="Roboto"/>
          <w:sz w:val="22"/>
          <w:szCs w:val="22"/>
        </w:rPr>
        <w:t>,</w:t>
      </w:r>
      <w:r w:rsidR="00871F91">
        <w:rPr>
          <w:rFonts w:ascii="Roboto" w:eastAsia="Roboto" w:hAnsi="Roboto" w:cs="Roboto"/>
          <w:sz w:val="22"/>
          <w:szCs w:val="22"/>
        </w:rPr>
        <w:t xml:space="preserve"> cada vez más</w:t>
      </w:r>
      <w:r w:rsidR="00980DC6">
        <w:rPr>
          <w:rFonts w:ascii="Roboto" w:eastAsia="Roboto" w:hAnsi="Roboto" w:cs="Roboto"/>
          <w:sz w:val="22"/>
          <w:szCs w:val="22"/>
        </w:rPr>
        <w:t>,</w:t>
      </w:r>
      <w:r w:rsidR="00871F91">
        <w:rPr>
          <w:rFonts w:ascii="Roboto" w:eastAsia="Roboto" w:hAnsi="Roboto" w:cs="Roboto"/>
          <w:sz w:val="22"/>
          <w:szCs w:val="22"/>
        </w:rPr>
        <w:t xml:space="preserve"> </w:t>
      </w:r>
      <w:r w:rsidR="00F221FE">
        <w:rPr>
          <w:rFonts w:ascii="Roboto" w:eastAsia="Roboto" w:hAnsi="Roboto" w:cs="Roboto"/>
          <w:sz w:val="22"/>
          <w:szCs w:val="22"/>
        </w:rPr>
        <w:t>a</w:t>
      </w:r>
      <w:r w:rsidR="00871F91">
        <w:rPr>
          <w:rFonts w:ascii="Roboto" w:eastAsia="Roboto" w:hAnsi="Roboto" w:cs="Roboto"/>
          <w:sz w:val="22"/>
          <w:szCs w:val="22"/>
        </w:rPr>
        <w:t xml:space="preserve"> la acreditación para actividades críticas en la protección del entorno como el control de la calidad del aire o de las emisiones y los vertidos, cuyos efectos pueden impactar negativamente en la salud de la población.</w:t>
      </w:r>
      <w:r w:rsidR="004978E5" w:rsidRPr="004978E5">
        <w:rPr>
          <w:rFonts w:ascii="Roboto" w:eastAsia="Roboto" w:hAnsi="Roboto" w:cs="Roboto"/>
          <w:sz w:val="22"/>
          <w:szCs w:val="22"/>
        </w:rPr>
        <w:t xml:space="preserve"> </w:t>
      </w:r>
      <w:r w:rsidR="00F221FE">
        <w:rPr>
          <w:rFonts w:ascii="Roboto" w:eastAsia="Roboto" w:hAnsi="Roboto" w:cs="Roboto"/>
          <w:sz w:val="22"/>
          <w:szCs w:val="22"/>
        </w:rPr>
        <w:t>En España</w:t>
      </w:r>
      <w:r w:rsidR="004978E5">
        <w:rPr>
          <w:rFonts w:ascii="Roboto" w:eastAsia="Roboto" w:hAnsi="Roboto" w:cs="Roboto"/>
          <w:sz w:val="22"/>
          <w:szCs w:val="22"/>
        </w:rPr>
        <w:t>, son m</w:t>
      </w:r>
      <w:r w:rsidR="004978E5" w:rsidRPr="00112A46">
        <w:rPr>
          <w:rFonts w:ascii="Roboto" w:eastAsia="Roboto" w:hAnsi="Roboto" w:cs="Roboto"/>
          <w:sz w:val="22"/>
          <w:szCs w:val="22"/>
        </w:rPr>
        <w:t xml:space="preserve">ás de </w:t>
      </w:r>
      <w:r w:rsidR="004978E5" w:rsidRPr="002E28AC">
        <w:rPr>
          <w:rFonts w:ascii="Roboto" w:eastAsia="Roboto" w:hAnsi="Roboto" w:cs="Roboto"/>
          <w:b/>
          <w:bCs/>
          <w:sz w:val="22"/>
          <w:szCs w:val="22"/>
        </w:rPr>
        <w:t>400 las entidades acreditadas</w:t>
      </w:r>
      <w:r w:rsidR="004978E5" w:rsidRPr="00112A46">
        <w:rPr>
          <w:rFonts w:ascii="Roboto" w:eastAsia="Roboto" w:hAnsi="Roboto" w:cs="Roboto"/>
          <w:sz w:val="22"/>
          <w:szCs w:val="22"/>
        </w:rPr>
        <w:t xml:space="preserve"> por ENAC </w:t>
      </w:r>
      <w:r w:rsidR="004978E5">
        <w:rPr>
          <w:rFonts w:ascii="Roboto" w:eastAsia="Roboto" w:hAnsi="Roboto" w:cs="Roboto"/>
          <w:sz w:val="22"/>
          <w:szCs w:val="22"/>
        </w:rPr>
        <w:lastRenderedPageBreak/>
        <w:t xml:space="preserve">las que realizan </w:t>
      </w:r>
      <w:r w:rsidR="004978E5" w:rsidRPr="00112A46">
        <w:rPr>
          <w:rFonts w:ascii="Roboto" w:eastAsia="Roboto" w:hAnsi="Roboto" w:cs="Roboto"/>
          <w:sz w:val="22"/>
          <w:szCs w:val="22"/>
        </w:rPr>
        <w:t>más de 500 actividades de evaluación y control</w:t>
      </w:r>
      <w:r w:rsidR="004978E5">
        <w:rPr>
          <w:rFonts w:ascii="Roboto" w:eastAsia="Roboto" w:hAnsi="Roboto" w:cs="Roboto"/>
          <w:sz w:val="22"/>
          <w:szCs w:val="22"/>
        </w:rPr>
        <w:t xml:space="preserve"> en el </w:t>
      </w:r>
      <w:r w:rsidR="004978E5" w:rsidRPr="002E28AC">
        <w:rPr>
          <w:rFonts w:ascii="Roboto" w:eastAsia="Roboto" w:hAnsi="Roboto" w:cs="Roboto"/>
          <w:b/>
          <w:bCs/>
          <w:sz w:val="22"/>
          <w:szCs w:val="22"/>
        </w:rPr>
        <w:t>área medioambiental</w:t>
      </w:r>
      <w:r w:rsidR="004978E5">
        <w:rPr>
          <w:rFonts w:ascii="Roboto" w:eastAsia="Roboto" w:hAnsi="Roboto" w:cs="Roboto"/>
          <w:sz w:val="22"/>
          <w:szCs w:val="22"/>
        </w:rPr>
        <w:t>.</w:t>
      </w:r>
    </w:p>
    <w:p w14:paraId="74CABEB1" w14:textId="444FBDB5" w:rsidR="00871F91" w:rsidRDefault="00871F91" w:rsidP="00871F91">
      <w:pPr>
        <w:jc w:val="both"/>
        <w:rPr>
          <w:rFonts w:ascii="Roboto" w:eastAsia="Roboto" w:hAnsi="Roboto" w:cs="Roboto"/>
          <w:sz w:val="22"/>
          <w:szCs w:val="22"/>
        </w:rPr>
      </w:pPr>
    </w:p>
    <w:p w14:paraId="7825D601" w14:textId="2CDF886B" w:rsidR="00871F91" w:rsidRDefault="00871F91" w:rsidP="00871F91">
      <w:pPr>
        <w:jc w:val="both"/>
        <w:rPr>
          <w:rFonts w:ascii="Roboto" w:eastAsia="Roboto" w:hAnsi="Roboto" w:cs="Roboto"/>
          <w:sz w:val="22"/>
          <w:szCs w:val="22"/>
          <w:highlight w:val="white"/>
        </w:rPr>
      </w:pPr>
      <w:r>
        <w:rPr>
          <w:rFonts w:ascii="Roboto" w:eastAsia="Roboto" w:hAnsi="Roboto" w:cs="Roboto"/>
          <w:sz w:val="22"/>
          <w:szCs w:val="22"/>
        </w:rPr>
        <w:t xml:space="preserve">En </w:t>
      </w:r>
      <w:r w:rsidR="00F221FE">
        <w:rPr>
          <w:rFonts w:ascii="Roboto" w:eastAsia="Roboto" w:hAnsi="Roboto" w:cs="Roboto"/>
          <w:sz w:val="22"/>
          <w:szCs w:val="22"/>
        </w:rPr>
        <w:t>particular</w:t>
      </w:r>
      <w:r>
        <w:rPr>
          <w:rFonts w:ascii="Roboto" w:eastAsia="Roboto" w:hAnsi="Roboto" w:cs="Roboto"/>
          <w:sz w:val="22"/>
          <w:szCs w:val="22"/>
          <w:highlight w:val="white"/>
        </w:rPr>
        <w:t xml:space="preserve">, las entidades de evaluación acreditadas por ENAC aportan las máximas garantías en la </w:t>
      </w:r>
      <w:r>
        <w:rPr>
          <w:rFonts w:ascii="Roboto" w:eastAsia="Roboto" w:hAnsi="Roboto" w:cs="Roboto"/>
          <w:b/>
          <w:sz w:val="22"/>
          <w:szCs w:val="22"/>
          <w:highlight w:val="white"/>
        </w:rPr>
        <w:t>vigilancia y control de la calidad del aire</w:t>
      </w:r>
      <w:r>
        <w:rPr>
          <w:rFonts w:ascii="Roboto" w:eastAsia="Roboto" w:hAnsi="Roboto" w:cs="Roboto"/>
          <w:sz w:val="22"/>
          <w:szCs w:val="22"/>
          <w:highlight w:val="white"/>
        </w:rPr>
        <w:t xml:space="preserve">, </w:t>
      </w:r>
      <w:r w:rsidR="00F221FE">
        <w:rPr>
          <w:rFonts w:ascii="Roboto" w:eastAsia="Roboto" w:hAnsi="Roboto" w:cs="Roboto"/>
          <w:sz w:val="22"/>
          <w:szCs w:val="22"/>
          <w:highlight w:val="white"/>
        </w:rPr>
        <w:t>en aspectos tan críticos</w:t>
      </w:r>
      <w:r>
        <w:rPr>
          <w:rFonts w:ascii="Roboto" w:eastAsia="Roboto" w:hAnsi="Roboto" w:cs="Roboto"/>
          <w:sz w:val="22"/>
          <w:szCs w:val="22"/>
          <w:highlight w:val="white"/>
        </w:rPr>
        <w:t xml:space="preserve"> como la medida de contaminantes, óxidos de nitrógeno, partículas en suspensión, óxidos de azufre o dióxido de carbono, presentes en el aire</w:t>
      </w:r>
      <w:r w:rsidR="009A66DF">
        <w:rPr>
          <w:rFonts w:ascii="Roboto" w:eastAsia="Roboto" w:hAnsi="Roboto" w:cs="Roboto"/>
          <w:sz w:val="22"/>
          <w:szCs w:val="22"/>
          <w:highlight w:val="white"/>
        </w:rPr>
        <w:t>,</w:t>
      </w:r>
      <w:r>
        <w:rPr>
          <w:rFonts w:ascii="Roboto" w:eastAsia="Roboto" w:hAnsi="Roboto" w:cs="Roboto"/>
          <w:sz w:val="22"/>
          <w:szCs w:val="22"/>
          <w:highlight w:val="white"/>
        </w:rPr>
        <w:t xml:space="preserve"> </w:t>
      </w:r>
      <w:r w:rsidR="00F221FE">
        <w:rPr>
          <w:rFonts w:ascii="Roboto" w:eastAsia="Roboto" w:hAnsi="Roboto" w:cs="Roboto"/>
          <w:sz w:val="22"/>
          <w:szCs w:val="22"/>
          <w:highlight w:val="white"/>
        </w:rPr>
        <w:t>o</w:t>
      </w:r>
      <w:r>
        <w:rPr>
          <w:rFonts w:ascii="Roboto" w:eastAsia="Roboto" w:hAnsi="Roboto" w:cs="Roboto"/>
          <w:sz w:val="22"/>
          <w:szCs w:val="22"/>
          <w:highlight w:val="white"/>
        </w:rPr>
        <w:t xml:space="preserve"> la inspección de la calidad en ambientes interiores, el control del Radón o la inspección y el análisis de fibras de amianto. </w:t>
      </w:r>
    </w:p>
    <w:p w14:paraId="5E8FEF6E" w14:textId="77777777" w:rsidR="00871F91" w:rsidRDefault="00871F91" w:rsidP="00871F91">
      <w:pPr>
        <w:jc w:val="both"/>
        <w:rPr>
          <w:rFonts w:ascii="Roboto" w:eastAsia="Roboto" w:hAnsi="Roboto" w:cs="Roboto"/>
          <w:color w:val="333333"/>
          <w:sz w:val="22"/>
          <w:szCs w:val="22"/>
          <w:highlight w:val="white"/>
        </w:rPr>
      </w:pPr>
    </w:p>
    <w:p w14:paraId="52E12D98" w14:textId="550A2B0D" w:rsidR="00871F91" w:rsidRDefault="00871F91" w:rsidP="00871F91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  <w:highlight w:val="white"/>
        </w:rPr>
        <w:t xml:space="preserve">Otro ejemplo es su papel en el control de </w:t>
      </w:r>
      <w:r>
        <w:rPr>
          <w:rFonts w:ascii="Roboto" w:eastAsia="Roboto" w:hAnsi="Roboto" w:cs="Roboto"/>
          <w:sz w:val="22"/>
          <w:szCs w:val="22"/>
        </w:rPr>
        <w:t xml:space="preserve">la </w:t>
      </w:r>
      <w:r>
        <w:rPr>
          <w:rFonts w:ascii="Roboto" w:eastAsia="Roboto" w:hAnsi="Roboto" w:cs="Roboto"/>
          <w:b/>
          <w:sz w:val="22"/>
          <w:szCs w:val="22"/>
        </w:rPr>
        <w:t>contaminación acústica</w:t>
      </w:r>
      <w:r w:rsidR="00F16306">
        <w:rPr>
          <w:rFonts w:ascii="Roboto" w:eastAsia="Roboto" w:hAnsi="Roboto" w:cs="Roboto"/>
          <w:b/>
          <w:sz w:val="22"/>
          <w:szCs w:val="22"/>
        </w:rPr>
        <w:t>,</w:t>
      </w:r>
      <w:r>
        <w:rPr>
          <w:rFonts w:ascii="Roboto" w:eastAsia="Roboto" w:hAnsi="Roboto" w:cs="Roboto"/>
          <w:sz w:val="22"/>
          <w:szCs w:val="22"/>
        </w:rPr>
        <w:t xml:space="preserve"> que tiene importantes repercusiones negativas para la salud y bienestar, sobre todo en las ciudades. </w:t>
      </w:r>
      <w:r>
        <w:rPr>
          <w:rFonts w:ascii="Roboto" w:eastAsia="Roboto" w:hAnsi="Roboto" w:cs="Roboto"/>
          <w:sz w:val="22"/>
          <w:szCs w:val="22"/>
          <w:highlight w:val="white"/>
        </w:rPr>
        <w:t xml:space="preserve">En la actualidad, nuestro país cuenta con </w:t>
      </w:r>
      <w:r>
        <w:rPr>
          <w:rFonts w:ascii="Roboto" w:eastAsia="Roboto" w:hAnsi="Roboto" w:cs="Roboto"/>
          <w:b/>
          <w:sz w:val="22"/>
          <w:szCs w:val="22"/>
          <w:highlight w:val="white"/>
        </w:rPr>
        <w:t>97 empresas e instituciones públicas acreditadas que ofrecen las máximas garantías para mejorar las condiciones acústicas de nuestro entorno</w:t>
      </w:r>
      <w:r>
        <w:rPr>
          <w:rFonts w:ascii="Roboto" w:eastAsia="Roboto" w:hAnsi="Roboto" w:cs="Roboto"/>
          <w:sz w:val="22"/>
          <w:szCs w:val="22"/>
          <w:highlight w:val="white"/>
        </w:rPr>
        <w:t>.</w:t>
      </w:r>
      <w:r>
        <w:rPr>
          <w:rFonts w:ascii="Roboto" w:eastAsia="Roboto" w:hAnsi="Roboto" w:cs="Roboto"/>
          <w:sz w:val="22"/>
          <w:szCs w:val="22"/>
        </w:rPr>
        <w:t xml:space="preserve"> </w:t>
      </w:r>
    </w:p>
    <w:p w14:paraId="6E50B8E7" w14:textId="77777777" w:rsidR="00906716" w:rsidRDefault="00906716" w:rsidP="00871F91">
      <w:pPr>
        <w:jc w:val="both"/>
        <w:rPr>
          <w:rFonts w:ascii="Roboto" w:eastAsia="Roboto" w:hAnsi="Roboto" w:cs="Roboto"/>
          <w:sz w:val="22"/>
          <w:szCs w:val="22"/>
        </w:rPr>
      </w:pPr>
    </w:p>
    <w:p w14:paraId="4A24C1A0" w14:textId="77777777" w:rsidR="00210CE2" w:rsidRDefault="00210CE2" w:rsidP="00871F91">
      <w:pPr>
        <w:jc w:val="both"/>
        <w:rPr>
          <w:rFonts w:ascii="Roboto" w:eastAsia="Roboto" w:hAnsi="Roboto" w:cs="Roboto"/>
          <w:sz w:val="22"/>
          <w:szCs w:val="22"/>
        </w:rPr>
      </w:pPr>
    </w:p>
    <w:p w14:paraId="7D022AE5" w14:textId="446CF359" w:rsidR="00906716" w:rsidRPr="002E28AC" w:rsidRDefault="00906716" w:rsidP="00871F91">
      <w:pPr>
        <w:jc w:val="both"/>
        <w:rPr>
          <w:rFonts w:ascii="Roboto" w:eastAsia="Roboto" w:hAnsi="Roboto" w:cs="Roboto"/>
          <w:b/>
          <w:bCs/>
          <w:sz w:val="22"/>
          <w:szCs w:val="22"/>
        </w:rPr>
      </w:pPr>
      <w:r w:rsidRPr="002E28AC">
        <w:rPr>
          <w:rFonts w:ascii="Roboto" w:eastAsia="Roboto" w:hAnsi="Roboto" w:cs="Roboto"/>
          <w:b/>
          <w:bCs/>
          <w:sz w:val="22"/>
          <w:szCs w:val="22"/>
        </w:rPr>
        <w:t>La seguridad alimentaria, clave</w:t>
      </w:r>
      <w:r w:rsidR="00210CE2">
        <w:rPr>
          <w:rFonts w:ascii="Roboto" w:eastAsia="Roboto" w:hAnsi="Roboto" w:cs="Roboto"/>
          <w:b/>
          <w:bCs/>
          <w:sz w:val="22"/>
          <w:szCs w:val="22"/>
        </w:rPr>
        <w:t xml:space="preserve"> para garantizar el bienestar de las personas</w:t>
      </w:r>
    </w:p>
    <w:p w14:paraId="29E25D7D" w14:textId="77777777" w:rsidR="00871F91" w:rsidRDefault="00871F91" w:rsidP="00D122CB">
      <w:pPr>
        <w:jc w:val="both"/>
        <w:rPr>
          <w:rFonts w:ascii="Roboto" w:eastAsia="Roboto" w:hAnsi="Roboto" w:cs="Roboto"/>
          <w:sz w:val="22"/>
          <w:szCs w:val="22"/>
        </w:rPr>
      </w:pPr>
    </w:p>
    <w:p w14:paraId="4B835834" w14:textId="1AB19F1B" w:rsidR="00D122CB" w:rsidRDefault="00D122CB" w:rsidP="00D122CB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Por otro lado, los servicios de evaluación y control de productos (como los ensayos, las certificaciones de producto, inspección de actividades e instalaciones…) cumplen una labor esencial en el </w:t>
      </w:r>
      <w:r w:rsidR="00002AAD">
        <w:rPr>
          <w:rFonts w:ascii="Roboto" w:eastAsia="Roboto" w:hAnsi="Roboto" w:cs="Roboto"/>
          <w:sz w:val="22"/>
          <w:szCs w:val="22"/>
        </w:rPr>
        <w:t>sect</w:t>
      </w:r>
      <w:r w:rsidR="004011DA">
        <w:rPr>
          <w:rFonts w:ascii="Roboto" w:eastAsia="Roboto" w:hAnsi="Roboto" w:cs="Roboto"/>
          <w:sz w:val="22"/>
          <w:szCs w:val="22"/>
        </w:rPr>
        <w:t>or</w:t>
      </w:r>
      <w:r>
        <w:rPr>
          <w:rFonts w:ascii="Roboto" w:eastAsia="Roboto" w:hAnsi="Roboto" w:cs="Roboto"/>
          <w:sz w:val="22"/>
          <w:szCs w:val="22"/>
        </w:rPr>
        <w:t xml:space="preserve"> alimentario a la hora de dar respuesta y </w:t>
      </w:r>
      <w:r w:rsidR="00A9525E">
        <w:rPr>
          <w:rFonts w:ascii="Roboto" w:eastAsia="Roboto" w:hAnsi="Roboto" w:cs="Roboto"/>
          <w:sz w:val="22"/>
          <w:szCs w:val="22"/>
        </w:rPr>
        <w:t>aportar</w:t>
      </w:r>
      <w:r>
        <w:rPr>
          <w:rFonts w:ascii="Roboto" w:eastAsia="Roboto" w:hAnsi="Roboto" w:cs="Roboto"/>
          <w:sz w:val="22"/>
          <w:szCs w:val="22"/>
        </w:rPr>
        <w:t xml:space="preserve"> </w:t>
      </w:r>
      <w:r w:rsidRPr="002E28AC">
        <w:rPr>
          <w:rFonts w:ascii="Roboto" w:eastAsia="Roboto" w:hAnsi="Roboto" w:cs="Roboto"/>
          <w:sz w:val="22"/>
          <w:szCs w:val="22"/>
        </w:rPr>
        <w:t xml:space="preserve">confianza sobre cuestiones como la seguridad </w:t>
      </w:r>
      <w:r w:rsidR="00A9525E" w:rsidRPr="002E28AC">
        <w:rPr>
          <w:rFonts w:ascii="Roboto" w:eastAsia="Roboto" w:hAnsi="Roboto" w:cs="Roboto"/>
          <w:bCs/>
          <w:sz w:val="22"/>
          <w:szCs w:val="22"/>
        </w:rPr>
        <w:t>de los alimentos</w:t>
      </w:r>
      <w:r w:rsidR="00BD2801">
        <w:rPr>
          <w:rFonts w:ascii="Roboto" w:eastAsia="Roboto" w:hAnsi="Roboto" w:cs="Roboto"/>
          <w:sz w:val="22"/>
          <w:szCs w:val="22"/>
        </w:rPr>
        <w:t>.</w:t>
      </w:r>
      <w:r>
        <w:rPr>
          <w:rFonts w:ascii="Roboto" w:eastAsia="Roboto" w:hAnsi="Roboto" w:cs="Roboto"/>
          <w:sz w:val="22"/>
          <w:szCs w:val="22"/>
        </w:rPr>
        <w:t xml:space="preserve"> Hoy día son casi </w:t>
      </w:r>
      <w:r w:rsidRPr="002E28AC">
        <w:rPr>
          <w:rFonts w:ascii="Roboto" w:eastAsia="Roboto" w:hAnsi="Roboto" w:cs="Roboto"/>
          <w:b/>
          <w:bCs/>
          <w:sz w:val="22"/>
          <w:szCs w:val="22"/>
        </w:rPr>
        <w:t>400 los</w:t>
      </w:r>
      <w:r>
        <w:rPr>
          <w:rFonts w:ascii="Roboto" w:eastAsia="Roboto" w:hAnsi="Roboto" w:cs="Roboto"/>
          <w:b/>
          <w:sz w:val="22"/>
          <w:szCs w:val="22"/>
        </w:rPr>
        <w:t xml:space="preserve"> laboratorios acreditados</w:t>
      </w:r>
      <w:r w:rsidR="008B097E">
        <w:rPr>
          <w:rFonts w:ascii="Roboto" w:eastAsia="Roboto" w:hAnsi="Roboto" w:cs="Roboto"/>
          <w:b/>
          <w:sz w:val="22"/>
          <w:szCs w:val="22"/>
        </w:rPr>
        <w:t xml:space="preserve"> </w:t>
      </w:r>
      <w:r w:rsidR="00A9525E">
        <w:rPr>
          <w:rFonts w:ascii="Roboto" w:eastAsia="Roboto" w:hAnsi="Roboto" w:cs="Roboto"/>
          <w:b/>
          <w:sz w:val="22"/>
          <w:szCs w:val="22"/>
        </w:rPr>
        <w:t>para el control de alimentos</w:t>
      </w:r>
      <w:r>
        <w:rPr>
          <w:rFonts w:ascii="Roboto" w:eastAsia="Roboto" w:hAnsi="Roboto" w:cs="Roboto"/>
          <w:sz w:val="22"/>
          <w:szCs w:val="22"/>
        </w:rPr>
        <w:t>.</w:t>
      </w:r>
    </w:p>
    <w:p w14:paraId="08DBA7E6" w14:textId="77777777" w:rsidR="00D122CB" w:rsidRDefault="00D122CB" w:rsidP="00D122CB">
      <w:pPr>
        <w:jc w:val="both"/>
        <w:rPr>
          <w:rFonts w:ascii="Roboto" w:eastAsia="Roboto" w:hAnsi="Roboto" w:cs="Roboto"/>
          <w:sz w:val="22"/>
          <w:szCs w:val="22"/>
        </w:rPr>
      </w:pPr>
    </w:p>
    <w:p w14:paraId="6DC4D055" w14:textId="308636C5" w:rsidR="00D122CB" w:rsidRPr="002E28AC" w:rsidRDefault="00D122CB" w:rsidP="00D122CB">
      <w:pPr>
        <w:jc w:val="both"/>
        <w:rPr>
          <w:rFonts w:ascii="Roboto" w:eastAsia="Roboto" w:hAnsi="Roboto" w:cs="Roboto"/>
          <w:b/>
          <w:color w:val="000000" w:themeColor="text1"/>
          <w:sz w:val="22"/>
          <w:szCs w:val="22"/>
        </w:rPr>
      </w:pPr>
      <w:r w:rsidRPr="002E28AC">
        <w:rPr>
          <w:rFonts w:ascii="Roboto" w:eastAsia="Roboto" w:hAnsi="Roboto" w:cs="Roboto"/>
          <w:color w:val="000000" w:themeColor="text1"/>
          <w:sz w:val="22"/>
          <w:szCs w:val="22"/>
          <w:highlight w:val="white"/>
        </w:rPr>
        <w:t xml:space="preserve">Además, los laboratorios </w:t>
      </w:r>
      <w:r w:rsidRPr="002E28AC">
        <w:rPr>
          <w:rFonts w:ascii="Roboto" w:eastAsia="Roboto" w:hAnsi="Roboto" w:cs="Roboto"/>
          <w:b/>
          <w:color w:val="000000" w:themeColor="text1"/>
          <w:sz w:val="22"/>
          <w:szCs w:val="22"/>
          <w:highlight w:val="white"/>
        </w:rPr>
        <w:t>públicos y privados acreditados</w:t>
      </w:r>
      <w:r w:rsidRPr="002E28AC">
        <w:rPr>
          <w:rFonts w:ascii="Roboto" w:eastAsia="Roboto" w:hAnsi="Roboto" w:cs="Roboto"/>
          <w:color w:val="000000" w:themeColor="text1"/>
          <w:sz w:val="22"/>
          <w:szCs w:val="22"/>
          <w:highlight w:val="white"/>
        </w:rPr>
        <w:t xml:space="preserve"> </w:t>
      </w:r>
      <w:r w:rsidRPr="002E28AC">
        <w:rPr>
          <w:rFonts w:ascii="Roboto" w:eastAsia="Roboto" w:hAnsi="Roboto" w:cs="Roboto"/>
          <w:b/>
          <w:color w:val="000000" w:themeColor="text1"/>
          <w:sz w:val="22"/>
          <w:szCs w:val="22"/>
          <w:highlight w:val="white"/>
        </w:rPr>
        <w:t>aportan la máxima confianza sobre el control analítico y la calidad del agua</w:t>
      </w:r>
      <w:r w:rsidRPr="002E28AC">
        <w:rPr>
          <w:rFonts w:ascii="Roboto" w:eastAsia="Roboto" w:hAnsi="Roboto" w:cs="Roboto"/>
          <w:color w:val="000000" w:themeColor="text1"/>
          <w:sz w:val="22"/>
          <w:szCs w:val="22"/>
          <w:highlight w:val="white"/>
        </w:rPr>
        <w:t xml:space="preserve">, tanto de las aguas de consumo como del control y vigilancia del Ciclo Integral del Agua. </w:t>
      </w:r>
    </w:p>
    <w:p w14:paraId="32794C68" w14:textId="77777777" w:rsidR="00D122CB" w:rsidRPr="002E28AC" w:rsidRDefault="00D122CB" w:rsidP="00D122CB">
      <w:pPr>
        <w:jc w:val="both"/>
        <w:rPr>
          <w:rFonts w:ascii="Roboto" w:eastAsia="Roboto" w:hAnsi="Roboto" w:cs="Roboto"/>
          <w:color w:val="000000" w:themeColor="text1"/>
          <w:sz w:val="22"/>
          <w:szCs w:val="22"/>
          <w:highlight w:val="white"/>
        </w:rPr>
      </w:pPr>
    </w:p>
    <w:p w14:paraId="456E195B" w14:textId="77777777" w:rsidR="00D122CB" w:rsidRDefault="00D122CB">
      <w:pPr>
        <w:jc w:val="both"/>
        <w:rPr>
          <w:rFonts w:ascii="Roboto" w:eastAsia="Roboto" w:hAnsi="Roboto" w:cs="Roboto"/>
          <w:b/>
          <w:sz w:val="22"/>
          <w:szCs w:val="22"/>
          <w:highlight w:val="white"/>
          <w:u w:val="single"/>
        </w:rPr>
      </w:pPr>
    </w:p>
    <w:p w14:paraId="35E9CDA5" w14:textId="77777777" w:rsidR="0057336E" w:rsidRDefault="0057336E">
      <w:pPr>
        <w:jc w:val="both"/>
        <w:rPr>
          <w:rFonts w:ascii="Roboto" w:eastAsia="Roboto" w:hAnsi="Roboto" w:cs="Roboto"/>
          <w:sz w:val="22"/>
          <w:szCs w:val="22"/>
        </w:rPr>
      </w:pPr>
    </w:p>
    <w:p w14:paraId="35E9CDB4" w14:textId="77777777" w:rsidR="0057336E" w:rsidRDefault="00DE39D6">
      <w:pPr>
        <w:spacing w:after="200" w:line="276" w:lineRule="auto"/>
        <w:jc w:val="both"/>
        <w:rPr>
          <w:rFonts w:ascii="Roboto" w:eastAsia="Roboto" w:hAnsi="Roboto" w:cs="Roboto"/>
          <w:b/>
          <w:color w:val="E83544"/>
          <w:sz w:val="22"/>
          <w:szCs w:val="22"/>
        </w:rPr>
      </w:pPr>
      <w:r>
        <w:rPr>
          <w:rFonts w:ascii="Roboto" w:eastAsia="Roboto" w:hAnsi="Roboto" w:cs="Roboto"/>
          <w:b/>
          <w:color w:val="E83544"/>
          <w:sz w:val="22"/>
          <w:szCs w:val="22"/>
        </w:rPr>
        <w:t>Sobre ENAC</w:t>
      </w:r>
    </w:p>
    <w:p w14:paraId="35E9CDB5" w14:textId="6B2FF997" w:rsidR="0057336E" w:rsidRDefault="00DE39D6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La Entidad Nacional de Acreditación – ENAC – es la entidad designada por el Gobierno para operar en España como el único Organismo Nacional de Acreditación, en aplicación del Reglamento (CE) nº765/2008 del Parlamento Europeo que regula el funcionamiento de la acreditación en Europa.</w:t>
      </w:r>
    </w:p>
    <w:p w14:paraId="70D32E17" w14:textId="7A8342DF" w:rsidR="001D62F1" w:rsidRDefault="00DE39D6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color w:val="1F497D"/>
          <w:sz w:val="22"/>
          <w:szCs w:val="22"/>
        </w:rPr>
        <w:t> </w:t>
      </w:r>
    </w:p>
    <w:p w14:paraId="35E9CDBC" w14:textId="77777777" w:rsidR="0057336E" w:rsidRDefault="00DE39D6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ENAC tiene como misión generar confianza en el mercado y en la sociedad evaluando, a través de un sistema conforme a normas internacionales, la competencia técnica de laboratorios de ensayo o calibración, entidades de inspección, entidades de certificación y verificadores medioambientales que desarrollen su actividad en cualquier sector: industria,  energía, medio ambiente, sanidad, alimentación, investigación, desarrollo e innovación, transportes, telecomunicaciones, turismo, servicios, construcción, etc. Contribuye, así, a la seguridad y el bienestar de las personas, la calidad de los productos y servicios, la protección del medioambiente y, con ello, al aumento de la competitividad de los productos y servicios españoles y a una disminución de los costes para la sociedad debidos a estas actividades. </w:t>
      </w:r>
    </w:p>
    <w:p w14:paraId="35E9CDBD" w14:textId="77777777" w:rsidR="0057336E" w:rsidRDefault="00DE39D6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 </w:t>
      </w:r>
    </w:p>
    <w:p w14:paraId="35E9CDBE" w14:textId="77777777" w:rsidR="0057336E" w:rsidRDefault="00DE39D6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lastRenderedPageBreak/>
        <w:t>La marca ENAC es la manera de distinguir si un certificado o informe está acreditado o no. Es la garantía de que la organización que lo emite es técnicamente competente para llevar a cabo la tarea que realiza, y lo es tanto en España como en los 100 países en los que la marca de ENAC es reconocida y aceptada gracias a los acuerdos de reconocimiento que ENAC ha suscrito con las entidades de acreditación de esos países.</w:t>
      </w:r>
    </w:p>
    <w:p w14:paraId="35E9CDBF" w14:textId="77777777" w:rsidR="0057336E" w:rsidRDefault="0057336E">
      <w:pPr>
        <w:jc w:val="both"/>
        <w:rPr>
          <w:rFonts w:ascii="Roboto" w:eastAsia="Roboto" w:hAnsi="Roboto" w:cs="Roboto"/>
          <w:sz w:val="22"/>
          <w:szCs w:val="22"/>
        </w:rPr>
      </w:pPr>
    </w:p>
    <w:p w14:paraId="35E9CDC0" w14:textId="77777777" w:rsidR="0057336E" w:rsidRDefault="0057336E">
      <w:pPr>
        <w:jc w:val="both"/>
        <w:rPr>
          <w:rFonts w:ascii="Roboto" w:eastAsia="Roboto" w:hAnsi="Roboto" w:cs="Roboto"/>
          <w:sz w:val="22"/>
          <w:szCs w:val="22"/>
        </w:rPr>
      </w:pPr>
    </w:p>
    <w:p w14:paraId="35E9CDC1" w14:textId="77777777" w:rsidR="0057336E" w:rsidRDefault="006661A8">
      <w:pPr>
        <w:pBdr>
          <w:bottom w:val="single" w:sz="12" w:space="1" w:color="000000"/>
        </w:pBdr>
        <w:jc w:val="both"/>
        <w:rPr>
          <w:rFonts w:ascii="Roboto" w:eastAsia="Roboto" w:hAnsi="Roboto" w:cs="Roboto"/>
          <w:color w:val="E83544"/>
          <w:sz w:val="22"/>
          <w:szCs w:val="22"/>
        </w:rPr>
      </w:pPr>
      <w:hyperlink r:id="rId13">
        <w:r w:rsidR="00DE39D6">
          <w:rPr>
            <w:rFonts w:ascii="Roboto" w:eastAsia="Roboto" w:hAnsi="Roboto" w:cs="Roboto"/>
            <w:color w:val="E83544"/>
            <w:sz w:val="22"/>
            <w:szCs w:val="22"/>
            <w:u w:val="single"/>
          </w:rPr>
          <w:t>www.enac.es</w:t>
        </w:r>
      </w:hyperlink>
      <w:r w:rsidR="00DE39D6">
        <w:rPr>
          <w:rFonts w:ascii="Roboto" w:eastAsia="Roboto" w:hAnsi="Roboto" w:cs="Roboto"/>
          <w:color w:val="E83544"/>
          <w:sz w:val="22"/>
          <w:szCs w:val="22"/>
        </w:rPr>
        <w:t xml:space="preserve"> </w:t>
      </w:r>
    </w:p>
    <w:p w14:paraId="35E9CDC2" w14:textId="77777777" w:rsidR="0057336E" w:rsidRDefault="0057336E">
      <w:pPr>
        <w:pBdr>
          <w:bottom w:val="single" w:sz="12" w:space="1" w:color="000000"/>
        </w:pBdr>
        <w:jc w:val="both"/>
        <w:rPr>
          <w:rFonts w:ascii="Roboto" w:eastAsia="Roboto" w:hAnsi="Roboto" w:cs="Roboto"/>
          <w:color w:val="E83544"/>
          <w:sz w:val="22"/>
          <w:szCs w:val="22"/>
        </w:rPr>
      </w:pPr>
    </w:p>
    <w:p w14:paraId="35E9CDC3" w14:textId="77777777" w:rsidR="0057336E" w:rsidRDefault="00DE39D6">
      <w:pPr>
        <w:pBdr>
          <w:bottom w:val="single" w:sz="12" w:space="1" w:color="000000"/>
        </w:pBd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color w:val="0000FF"/>
          <w:sz w:val="22"/>
          <w:szCs w:val="22"/>
        </w:rPr>
        <w:t xml:space="preserve"> </w:t>
      </w:r>
      <w:r>
        <w:rPr>
          <w:rFonts w:ascii="Roboto" w:eastAsia="Roboto" w:hAnsi="Roboto" w:cs="Roboto"/>
          <w:noProof/>
          <w:color w:val="0000FF"/>
          <w:sz w:val="22"/>
          <w:szCs w:val="22"/>
        </w:rPr>
        <w:drawing>
          <wp:inline distT="0" distB="0" distL="0" distR="0" wp14:anchorId="35E9CDCD" wp14:editId="35E9CDCE">
            <wp:extent cx="304800" cy="3048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color w:val="0000FF"/>
          <w:sz w:val="22"/>
          <w:szCs w:val="22"/>
        </w:rPr>
        <w:t xml:space="preserve">  </w:t>
      </w:r>
      <w:r>
        <w:rPr>
          <w:rFonts w:ascii="Roboto" w:eastAsia="Roboto" w:hAnsi="Roboto" w:cs="Roboto"/>
          <w:noProof/>
          <w:color w:val="0000FF"/>
          <w:sz w:val="22"/>
          <w:szCs w:val="22"/>
        </w:rPr>
        <w:drawing>
          <wp:inline distT="0" distB="0" distL="0" distR="0" wp14:anchorId="35E9CDCF" wp14:editId="35E9CDD0">
            <wp:extent cx="304800" cy="30480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5E9CDC4" w14:textId="77777777" w:rsidR="0057336E" w:rsidRDefault="0057336E">
      <w:pPr>
        <w:pBdr>
          <w:bottom w:val="single" w:sz="12" w:space="1" w:color="000000"/>
        </w:pBdr>
        <w:jc w:val="both"/>
        <w:rPr>
          <w:rFonts w:ascii="Roboto" w:eastAsia="Roboto" w:hAnsi="Roboto" w:cs="Roboto"/>
          <w:color w:val="E83544"/>
          <w:sz w:val="22"/>
          <w:szCs w:val="22"/>
        </w:rPr>
      </w:pPr>
    </w:p>
    <w:p w14:paraId="35E9CDC5" w14:textId="77777777" w:rsidR="0057336E" w:rsidRDefault="0057336E">
      <w:pPr>
        <w:jc w:val="both"/>
        <w:rPr>
          <w:rFonts w:ascii="Roboto" w:eastAsia="Roboto" w:hAnsi="Roboto" w:cs="Roboto"/>
          <w:color w:val="E83544"/>
          <w:sz w:val="22"/>
          <w:szCs w:val="22"/>
        </w:rPr>
      </w:pPr>
    </w:p>
    <w:p w14:paraId="35E9CDC6" w14:textId="77777777" w:rsidR="0057336E" w:rsidRDefault="00DE39D6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Para más información sobre la nota de prensa, resolver dudas o gestionar entrevistas</w:t>
      </w:r>
    </w:p>
    <w:p w14:paraId="35E9CDC7" w14:textId="77777777" w:rsidR="0057336E" w:rsidRDefault="00DE39D6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Eva Martín</w:t>
      </w:r>
    </w:p>
    <w:p w14:paraId="35E9CDC8" w14:textId="77777777" w:rsidR="0057336E" w:rsidRDefault="00DE39D6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Tfno. 628 17 49 01 / </w:t>
      </w:r>
      <w:r>
        <w:rPr>
          <w:rFonts w:ascii="Roboto" w:eastAsia="Roboto" w:hAnsi="Roboto" w:cs="Roboto"/>
          <w:color w:val="E83544"/>
          <w:sz w:val="22"/>
          <w:szCs w:val="22"/>
        </w:rPr>
        <w:t xml:space="preserve"> </w:t>
      </w:r>
      <w:hyperlink r:id="rId16">
        <w:r>
          <w:rPr>
            <w:rFonts w:ascii="Roboto" w:eastAsia="Roboto" w:hAnsi="Roboto" w:cs="Roboto"/>
            <w:color w:val="E83544"/>
            <w:sz w:val="22"/>
            <w:szCs w:val="22"/>
            <w:u w:val="single"/>
          </w:rPr>
          <w:t>evamc@varenga.es</w:t>
        </w:r>
      </w:hyperlink>
    </w:p>
    <w:p w14:paraId="35E9CDC9" w14:textId="77777777" w:rsidR="0057336E" w:rsidRDefault="0057336E">
      <w:pPr>
        <w:spacing w:after="200" w:line="276" w:lineRule="auto"/>
        <w:rPr>
          <w:rFonts w:ascii="Roboto" w:eastAsia="Roboto" w:hAnsi="Roboto" w:cs="Roboto"/>
          <w:sz w:val="22"/>
          <w:szCs w:val="22"/>
        </w:rPr>
      </w:pPr>
    </w:p>
    <w:p w14:paraId="35E9CDCA" w14:textId="77777777" w:rsidR="0057336E" w:rsidRDefault="0057336E">
      <w:pPr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35E9CDCB" w14:textId="77777777" w:rsidR="0057336E" w:rsidRDefault="0057336E">
      <w:pPr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35E9CDCC" w14:textId="77777777" w:rsidR="0057336E" w:rsidRDefault="0057336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highlight w:val="white"/>
        </w:rPr>
      </w:pPr>
    </w:p>
    <w:sectPr w:rsidR="0057336E">
      <w:headerReference w:type="default" r:id="rId17"/>
      <w:footerReference w:type="default" r:id="rId1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D3B92" w14:textId="77777777" w:rsidR="00B56A6B" w:rsidRDefault="00B56A6B">
      <w:r>
        <w:separator/>
      </w:r>
    </w:p>
  </w:endnote>
  <w:endnote w:type="continuationSeparator" w:id="0">
    <w:p w14:paraId="43DC346A" w14:textId="77777777" w:rsidR="00B56A6B" w:rsidRDefault="00B56A6B">
      <w:r>
        <w:continuationSeparator/>
      </w:r>
    </w:p>
  </w:endnote>
  <w:endnote w:type="continuationNotice" w:id="1">
    <w:p w14:paraId="6102CDC0" w14:textId="77777777" w:rsidR="00B56A6B" w:rsidRDefault="00B56A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9CDD4" w14:textId="610368B4" w:rsidR="0057336E" w:rsidRDefault="00DE39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94B95">
      <w:rPr>
        <w:noProof/>
        <w:color w:val="000000"/>
      </w:rPr>
      <w:t>1</w:t>
    </w:r>
    <w:r>
      <w:rPr>
        <w:color w:val="000000"/>
      </w:rPr>
      <w:fldChar w:fldCharType="end"/>
    </w:r>
  </w:p>
  <w:p w14:paraId="35E9CDD5" w14:textId="77777777" w:rsidR="0057336E" w:rsidRDefault="005733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0C4FD" w14:textId="77777777" w:rsidR="00B56A6B" w:rsidRDefault="00B56A6B">
      <w:r>
        <w:separator/>
      </w:r>
    </w:p>
  </w:footnote>
  <w:footnote w:type="continuationSeparator" w:id="0">
    <w:p w14:paraId="7FA48406" w14:textId="77777777" w:rsidR="00B56A6B" w:rsidRDefault="00B56A6B">
      <w:r>
        <w:continuationSeparator/>
      </w:r>
    </w:p>
  </w:footnote>
  <w:footnote w:type="continuationNotice" w:id="1">
    <w:p w14:paraId="279B628E" w14:textId="77777777" w:rsidR="00B56A6B" w:rsidRDefault="00B56A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9CDD1" w14:textId="77777777" w:rsidR="0057336E" w:rsidRDefault="00DE39D6">
    <w:pPr>
      <w:ind w:left="-120"/>
      <w:jc w:val="both"/>
      <w:rPr>
        <w:rFonts w:ascii="Calibri" w:eastAsia="Calibri" w:hAnsi="Calibri" w:cs="Calibri"/>
        <w:b/>
        <w:sz w:val="40"/>
        <w:szCs w:val="4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5E9CDD6" wp14:editId="35E9CDD7">
          <wp:simplePos x="0" y="0"/>
          <wp:positionH relativeFrom="column">
            <wp:posOffset>4114800</wp:posOffset>
          </wp:positionH>
          <wp:positionV relativeFrom="paragraph">
            <wp:posOffset>-304796</wp:posOffset>
          </wp:positionV>
          <wp:extent cx="1547842" cy="997267"/>
          <wp:effectExtent l="0" t="0" r="0" b="0"/>
          <wp:wrapSquare wrapText="bothSides" distT="114300" distB="11430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7842" cy="9972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5E9CDD2" w14:textId="77777777" w:rsidR="0057336E" w:rsidRDefault="00DE39D6">
    <w:pPr>
      <w:ind w:left="-120"/>
      <w:jc w:val="both"/>
      <w:rPr>
        <w:rFonts w:ascii="Nunito" w:eastAsia="Nunito" w:hAnsi="Nunito" w:cs="Nunito"/>
        <w:sz w:val="22"/>
        <w:szCs w:val="22"/>
      </w:rPr>
    </w:pPr>
    <w:r>
      <w:rPr>
        <w:rFonts w:ascii="Nunito" w:eastAsia="Nunito" w:hAnsi="Nunito" w:cs="Nunito"/>
        <w:b/>
        <w:sz w:val="40"/>
        <w:szCs w:val="40"/>
      </w:rPr>
      <w:t>NOTA DE PRENSA</w:t>
    </w:r>
    <w:r>
      <w:rPr>
        <w:rFonts w:ascii="Nunito" w:eastAsia="Nunito" w:hAnsi="Nunito" w:cs="Nunito"/>
        <w:sz w:val="22"/>
        <w:szCs w:val="22"/>
      </w:rPr>
      <w:t xml:space="preserve"> </w:t>
    </w:r>
  </w:p>
  <w:p w14:paraId="35E9CDD3" w14:textId="77777777" w:rsidR="0057336E" w:rsidRDefault="005733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02466"/>
    <w:multiLevelType w:val="multilevel"/>
    <w:tmpl w:val="48E4C4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03636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36E"/>
    <w:rsid w:val="00002AAD"/>
    <w:rsid w:val="00011125"/>
    <w:rsid w:val="0002568D"/>
    <w:rsid w:val="00044F3F"/>
    <w:rsid w:val="0005023A"/>
    <w:rsid w:val="0005582A"/>
    <w:rsid w:val="00056013"/>
    <w:rsid w:val="00057A34"/>
    <w:rsid w:val="00057C50"/>
    <w:rsid w:val="00061B52"/>
    <w:rsid w:val="00063955"/>
    <w:rsid w:val="00073A84"/>
    <w:rsid w:val="00075CEC"/>
    <w:rsid w:val="000811C9"/>
    <w:rsid w:val="00096CCA"/>
    <w:rsid w:val="000A1584"/>
    <w:rsid w:val="000A67FB"/>
    <w:rsid w:val="000D4FED"/>
    <w:rsid w:val="000E1870"/>
    <w:rsid w:val="000E3DE3"/>
    <w:rsid w:val="000E6A22"/>
    <w:rsid w:val="00112A46"/>
    <w:rsid w:val="00115513"/>
    <w:rsid w:val="00116617"/>
    <w:rsid w:val="00141EFC"/>
    <w:rsid w:val="0014622B"/>
    <w:rsid w:val="001762F1"/>
    <w:rsid w:val="001A26C6"/>
    <w:rsid w:val="001A4B1A"/>
    <w:rsid w:val="001A6531"/>
    <w:rsid w:val="001C25CC"/>
    <w:rsid w:val="001D422B"/>
    <w:rsid w:val="001D62F1"/>
    <w:rsid w:val="001E2FDA"/>
    <w:rsid w:val="00205BBF"/>
    <w:rsid w:val="002073C7"/>
    <w:rsid w:val="00210CE2"/>
    <w:rsid w:val="002142A9"/>
    <w:rsid w:val="0022051D"/>
    <w:rsid w:val="002216A0"/>
    <w:rsid w:val="00230B71"/>
    <w:rsid w:val="002430F0"/>
    <w:rsid w:val="00253F1F"/>
    <w:rsid w:val="00260020"/>
    <w:rsid w:val="00262FCF"/>
    <w:rsid w:val="0026341B"/>
    <w:rsid w:val="00284677"/>
    <w:rsid w:val="00294B95"/>
    <w:rsid w:val="002A39B9"/>
    <w:rsid w:val="002A66C6"/>
    <w:rsid w:val="002C12DE"/>
    <w:rsid w:val="002D0612"/>
    <w:rsid w:val="002D741C"/>
    <w:rsid w:val="002E0B5C"/>
    <w:rsid w:val="002E151F"/>
    <w:rsid w:val="002E28AC"/>
    <w:rsid w:val="002E4C73"/>
    <w:rsid w:val="002F38D5"/>
    <w:rsid w:val="0030472D"/>
    <w:rsid w:val="0032739E"/>
    <w:rsid w:val="003344D1"/>
    <w:rsid w:val="00340396"/>
    <w:rsid w:val="00362412"/>
    <w:rsid w:val="003739DE"/>
    <w:rsid w:val="003861CE"/>
    <w:rsid w:val="003A3684"/>
    <w:rsid w:val="003D7C96"/>
    <w:rsid w:val="003E2B02"/>
    <w:rsid w:val="004011DA"/>
    <w:rsid w:val="0043569C"/>
    <w:rsid w:val="0045693C"/>
    <w:rsid w:val="0047234F"/>
    <w:rsid w:val="00490D25"/>
    <w:rsid w:val="00493041"/>
    <w:rsid w:val="00494EAF"/>
    <w:rsid w:val="004978E5"/>
    <w:rsid w:val="004A3D9D"/>
    <w:rsid w:val="004C199C"/>
    <w:rsid w:val="004C1F7B"/>
    <w:rsid w:val="004D13BF"/>
    <w:rsid w:val="004D79B4"/>
    <w:rsid w:val="00504010"/>
    <w:rsid w:val="00525951"/>
    <w:rsid w:val="00531667"/>
    <w:rsid w:val="00537B09"/>
    <w:rsid w:val="00544C0A"/>
    <w:rsid w:val="005704B0"/>
    <w:rsid w:val="005719BB"/>
    <w:rsid w:val="005725E6"/>
    <w:rsid w:val="0057336E"/>
    <w:rsid w:val="005D21EF"/>
    <w:rsid w:val="005E3B13"/>
    <w:rsid w:val="0060097A"/>
    <w:rsid w:val="00603F36"/>
    <w:rsid w:val="00617281"/>
    <w:rsid w:val="00657E0A"/>
    <w:rsid w:val="006602F1"/>
    <w:rsid w:val="006652B4"/>
    <w:rsid w:val="006661A8"/>
    <w:rsid w:val="00676310"/>
    <w:rsid w:val="00696D8E"/>
    <w:rsid w:val="006A329A"/>
    <w:rsid w:val="006B6CC0"/>
    <w:rsid w:val="00714F61"/>
    <w:rsid w:val="0072048A"/>
    <w:rsid w:val="007330C3"/>
    <w:rsid w:val="007430BD"/>
    <w:rsid w:val="007549B7"/>
    <w:rsid w:val="00757A3B"/>
    <w:rsid w:val="00765086"/>
    <w:rsid w:val="0078017A"/>
    <w:rsid w:val="00785483"/>
    <w:rsid w:val="007940F0"/>
    <w:rsid w:val="00795D6A"/>
    <w:rsid w:val="007B6ABD"/>
    <w:rsid w:val="007C2F4E"/>
    <w:rsid w:val="007C53ED"/>
    <w:rsid w:val="007D76ED"/>
    <w:rsid w:val="007E5925"/>
    <w:rsid w:val="007E6833"/>
    <w:rsid w:val="007F50F7"/>
    <w:rsid w:val="007F720D"/>
    <w:rsid w:val="00801D7D"/>
    <w:rsid w:val="008022EF"/>
    <w:rsid w:val="00803393"/>
    <w:rsid w:val="00803FE6"/>
    <w:rsid w:val="0080595E"/>
    <w:rsid w:val="00835C4A"/>
    <w:rsid w:val="00852C02"/>
    <w:rsid w:val="008616B1"/>
    <w:rsid w:val="00871F91"/>
    <w:rsid w:val="008760D4"/>
    <w:rsid w:val="00886E27"/>
    <w:rsid w:val="008879C3"/>
    <w:rsid w:val="00895ECF"/>
    <w:rsid w:val="008B097E"/>
    <w:rsid w:val="008B6B81"/>
    <w:rsid w:val="008E6AC2"/>
    <w:rsid w:val="008F59E8"/>
    <w:rsid w:val="00902324"/>
    <w:rsid w:val="00906716"/>
    <w:rsid w:val="00914826"/>
    <w:rsid w:val="009221A3"/>
    <w:rsid w:val="00980DC6"/>
    <w:rsid w:val="00980F12"/>
    <w:rsid w:val="009A66DF"/>
    <w:rsid w:val="009B3541"/>
    <w:rsid w:val="009B6611"/>
    <w:rsid w:val="009C18A6"/>
    <w:rsid w:val="009C538D"/>
    <w:rsid w:val="009D3A7C"/>
    <w:rsid w:val="009D7944"/>
    <w:rsid w:val="009E6FC6"/>
    <w:rsid w:val="009F0C74"/>
    <w:rsid w:val="00A004CE"/>
    <w:rsid w:val="00A13353"/>
    <w:rsid w:val="00A32303"/>
    <w:rsid w:val="00A42EC2"/>
    <w:rsid w:val="00A45483"/>
    <w:rsid w:val="00A47E7A"/>
    <w:rsid w:val="00A525A0"/>
    <w:rsid w:val="00A526C6"/>
    <w:rsid w:val="00A732BE"/>
    <w:rsid w:val="00A754F9"/>
    <w:rsid w:val="00A921CE"/>
    <w:rsid w:val="00A9525E"/>
    <w:rsid w:val="00A956DB"/>
    <w:rsid w:val="00AA5BE3"/>
    <w:rsid w:val="00AE07D8"/>
    <w:rsid w:val="00AE20EF"/>
    <w:rsid w:val="00AF694E"/>
    <w:rsid w:val="00B128EE"/>
    <w:rsid w:val="00B30914"/>
    <w:rsid w:val="00B436C5"/>
    <w:rsid w:val="00B47617"/>
    <w:rsid w:val="00B4797D"/>
    <w:rsid w:val="00B56A6B"/>
    <w:rsid w:val="00B776FB"/>
    <w:rsid w:val="00B8459A"/>
    <w:rsid w:val="00B939DA"/>
    <w:rsid w:val="00BB2485"/>
    <w:rsid w:val="00BD2801"/>
    <w:rsid w:val="00BD4AED"/>
    <w:rsid w:val="00C24079"/>
    <w:rsid w:val="00C3304F"/>
    <w:rsid w:val="00C57899"/>
    <w:rsid w:val="00C65CB1"/>
    <w:rsid w:val="00C87CEC"/>
    <w:rsid w:val="00CB17B6"/>
    <w:rsid w:val="00CC4237"/>
    <w:rsid w:val="00CD09C7"/>
    <w:rsid w:val="00CE0512"/>
    <w:rsid w:val="00CE0553"/>
    <w:rsid w:val="00CF209D"/>
    <w:rsid w:val="00D10F77"/>
    <w:rsid w:val="00D122CB"/>
    <w:rsid w:val="00D51CBA"/>
    <w:rsid w:val="00D64301"/>
    <w:rsid w:val="00D879BC"/>
    <w:rsid w:val="00D926FA"/>
    <w:rsid w:val="00D9516B"/>
    <w:rsid w:val="00DB33DC"/>
    <w:rsid w:val="00DB4A90"/>
    <w:rsid w:val="00DC0B66"/>
    <w:rsid w:val="00DD21C9"/>
    <w:rsid w:val="00DD6FA3"/>
    <w:rsid w:val="00DE39D6"/>
    <w:rsid w:val="00DF1A45"/>
    <w:rsid w:val="00E10ECF"/>
    <w:rsid w:val="00E11917"/>
    <w:rsid w:val="00E50AA1"/>
    <w:rsid w:val="00E5170F"/>
    <w:rsid w:val="00E52A4B"/>
    <w:rsid w:val="00E56DBF"/>
    <w:rsid w:val="00E6051F"/>
    <w:rsid w:val="00E7355F"/>
    <w:rsid w:val="00E778C4"/>
    <w:rsid w:val="00E82199"/>
    <w:rsid w:val="00E82DF7"/>
    <w:rsid w:val="00EA1EEF"/>
    <w:rsid w:val="00EA2D90"/>
    <w:rsid w:val="00EC6DCE"/>
    <w:rsid w:val="00ED2375"/>
    <w:rsid w:val="00ED519B"/>
    <w:rsid w:val="00EF392C"/>
    <w:rsid w:val="00F16306"/>
    <w:rsid w:val="00F20215"/>
    <w:rsid w:val="00F221FE"/>
    <w:rsid w:val="00F25FAE"/>
    <w:rsid w:val="00F34FD3"/>
    <w:rsid w:val="00F433C9"/>
    <w:rsid w:val="00F460B6"/>
    <w:rsid w:val="00F50FA3"/>
    <w:rsid w:val="00F72E14"/>
    <w:rsid w:val="00FA17FD"/>
    <w:rsid w:val="00FA310A"/>
    <w:rsid w:val="00FB0F4E"/>
    <w:rsid w:val="00FB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9CD98"/>
  <w15:docId w15:val="{3BB929D6-9B56-49CC-A61E-5B86954A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rsid w:val="00801D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semiHidden/>
    <w:unhideWhenUsed/>
    <w:rsid w:val="00B479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4797D"/>
  </w:style>
  <w:style w:type="paragraph" w:styleId="Piedepgina">
    <w:name w:val="footer"/>
    <w:basedOn w:val="Normal"/>
    <w:link w:val="PiedepginaCar"/>
    <w:uiPriority w:val="99"/>
    <w:semiHidden/>
    <w:unhideWhenUsed/>
    <w:rsid w:val="00B479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4797D"/>
  </w:style>
  <w:style w:type="character" w:styleId="Refdecomentario">
    <w:name w:val="annotation reference"/>
    <w:basedOn w:val="Fuentedeprrafopredeter"/>
    <w:uiPriority w:val="99"/>
    <w:semiHidden/>
    <w:unhideWhenUsed/>
    <w:rsid w:val="00044F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44F3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44F3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4F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4F3F"/>
    <w:rPr>
      <w:b/>
      <w:bCs/>
      <w:sz w:val="20"/>
      <w:szCs w:val="20"/>
    </w:rPr>
  </w:style>
  <w:style w:type="character" w:styleId="Mencionar">
    <w:name w:val="Mention"/>
    <w:basedOn w:val="Fuentedeprrafopredeter"/>
    <w:uiPriority w:val="99"/>
    <w:unhideWhenUsed/>
    <w:rsid w:val="001D62F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nac.e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nac.e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evamc@varenga.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ho.int/es/campaigns/world-health-day/2022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52DE15686E4843A3780C010A78B13A" ma:contentTypeVersion="11" ma:contentTypeDescription="Crear nuevo documento." ma:contentTypeScope="" ma:versionID="906025266fd8ce0a309ca94f74ba6fc7">
  <xsd:schema xmlns:xsd="http://www.w3.org/2001/XMLSchema" xmlns:xs="http://www.w3.org/2001/XMLSchema" xmlns:p="http://schemas.microsoft.com/office/2006/metadata/properties" xmlns:ns2="6e290ce1-b2e7-4ccb-948d-a290ef611fa1" xmlns:ns3="909e21e3-a2e2-47ca-be0e-9c3a9bef9292" targetNamespace="http://schemas.microsoft.com/office/2006/metadata/properties" ma:root="true" ma:fieldsID="c2347116cb2e92de548b02655a59adf4" ns2:_="" ns3:_="">
    <xsd:import namespace="6e290ce1-b2e7-4ccb-948d-a290ef611fa1"/>
    <xsd:import namespace="909e21e3-a2e2-47ca-be0e-9c3a9bef9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90ce1-b2e7-4ccb-948d-a290ef611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e21e3-a2e2-47ca-be0e-9c3a9bef9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84E09A-D81A-4B9C-8D78-A2E4E3AD1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90ce1-b2e7-4ccb-948d-a290ef611fa1"/>
    <ds:schemaRef ds:uri="909e21e3-a2e2-47ca-be0e-9c3a9bef9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93D4B9-1071-41EE-9F5D-C11ACD164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EC152F-E6B6-43D0-B549-4219AF1C97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D9DF85-E4D8-4107-9D63-A76CBE552A57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e290ce1-b2e7-4ccb-948d-a290ef611fa1"/>
    <ds:schemaRef ds:uri="http://schemas.microsoft.com/office/infopath/2007/PartnerControls"/>
    <ds:schemaRef ds:uri="http://purl.org/dc/elements/1.1/"/>
    <ds:schemaRef ds:uri="909e21e3-a2e2-47ca-be0e-9c3a9bef929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916</Words>
  <Characters>5042</Characters>
  <Application>Microsoft Office Word</Application>
  <DocSecurity>0</DocSecurity>
  <Lines>42</Lines>
  <Paragraphs>11</Paragraphs>
  <ScaleCrop>false</ScaleCrop>
  <Company/>
  <LinksUpToDate>false</LinksUpToDate>
  <CharactersWithSpaces>5947</CharactersWithSpaces>
  <SharedDoc>false</SharedDoc>
  <HLinks>
    <vt:vector size="30" baseType="variant">
      <vt:variant>
        <vt:i4>7012444</vt:i4>
      </vt:variant>
      <vt:variant>
        <vt:i4>9</vt:i4>
      </vt:variant>
      <vt:variant>
        <vt:i4>0</vt:i4>
      </vt:variant>
      <vt:variant>
        <vt:i4>5</vt:i4>
      </vt:variant>
      <vt:variant>
        <vt:lpwstr>mailto:evamc@varenga.es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http://www.enac.es/</vt:lpwstr>
      </vt:variant>
      <vt:variant>
        <vt:lpwstr/>
      </vt:variant>
      <vt:variant>
        <vt:i4>7471160</vt:i4>
      </vt:variant>
      <vt:variant>
        <vt:i4>3</vt:i4>
      </vt:variant>
      <vt:variant>
        <vt:i4>0</vt:i4>
      </vt:variant>
      <vt:variant>
        <vt:i4>5</vt:i4>
      </vt:variant>
      <vt:variant>
        <vt:lpwstr>http://www.enac.es/</vt:lpwstr>
      </vt:variant>
      <vt:variant>
        <vt:lpwstr/>
      </vt:variant>
      <vt:variant>
        <vt:i4>3801188</vt:i4>
      </vt:variant>
      <vt:variant>
        <vt:i4>0</vt:i4>
      </vt:variant>
      <vt:variant>
        <vt:i4>0</vt:i4>
      </vt:variant>
      <vt:variant>
        <vt:i4>5</vt:i4>
      </vt:variant>
      <vt:variant>
        <vt:lpwstr>https://www.who.int/es/campaigns/world-health-day/2022</vt:lpwstr>
      </vt:variant>
      <vt:variant>
        <vt:lpwstr/>
      </vt:variant>
      <vt:variant>
        <vt:i4>5308527</vt:i4>
      </vt:variant>
      <vt:variant>
        <vt:i4>0</vt:i4>
      </vt:variant>
      <vt:variant>
        <vt:i4>0</vt:i4>
      </vt:variant>
      <vt:variant>
        <vt:i4>5</vt:i4>
      </vt:variant>
      <vt:variant>
        <vt:lpwstr>mailto:igonzalez@enac.es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Gonzalez Fernandez</dc:creator>
  <cp:keywords/>
  <cp:lastModifiedBy>Denise Diaz Pozo</cp:lastModifiedBy>
  <cp:revision>2</cp:revision>
  <dcterms:created xsi:type="dcterms:W3CDTF">2022-04-21T08:46:00Z</dcterms:created>
  <dcterms:modified xsi:type="dcterms:W3CDTF">2022-04-21T08:46:00Z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0x0101009152DE15686E4843A3780C010A78B13A</vt:lpwstr>
  </property>
</Properties>
</file>