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621714" w:rsidRDefault="00517155" w14:paraId="00000001" w14:textId="77777777">
      <w:pPr>
        <w:pStyle w:val="Normal0"/>
        <w:spacing w:line="276" w:lineRule="auto"/>
        <w:jc w:val="center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b/>
          <w:bCs/>
          <w:sz w:val="40"/>
          <w:szCs w:val="40"/>
        </w:rPr>
        <w:t>NOTA DE PRENSA</w:t>
      </w:r>
      <w:r>
        <w:rPr>
          <w:rFonts w:ascii="Roboto" w:hAnsi="Roboto" w:eastAsia="Roboto" w:cs="Roboto"/>
          <w:sz w:val="22"/>
          <w:szCs w:val="22"/>
        </w:rPr>
        <w:t xml:space="preserve"> </w:t>
      </w:r>
    </w:p>
    <w:p w:rsidR="00621714" w:rsidRDefault="00621714" w14:paraId="00000002" w14:textId="77777777">
      <w:pPr>
        <w:pStyle w:val="Normal0"/>
        <w:jc w:val="center"/>
        <w:rPr>
          <w:rFonts w:ascii="Roboto" w:hAnsi="Roboto" w:eastAsia="Roboto" w:cs="Roboto"/>
          <w:b/>
          <w:bCs/>
          <w:sz w:val="32"/>
          <w:szCs w:val="32"/>
        </w:rPr>
      </w:pPr>
    </w:p>
    <w:p w:rsidR="00621714" w:rsidRDefault="00517155" w14:paraId="00000003" w14:textId="77777777">
      <w:pPr>
        <w:pStyle w:val="Normal0"/>
        <w:jc w:val="center"/>
        <w:rPr>
          <w:rFonts w:ascii="Roboto" w:hAnsi="Roboto" w:eastAsia="Roboto" w:cs="Roboto"/>
          <w:b/>
          <w:bCs/>
          <w:sz w:val="32"/>
          <w:szCs w:val="32"/>
        </w:rPr>
      </w:pPr>
      <w:r>
        <w:rPr>
          <w:rFonts w:ascii="Roboto" w:hAnsi="Roboto" w:eastAsia="Roboto" w:cs="Roboto"/>
          <w:b/>
          <w:bCs/>
          <w:sz w:val="32"/>
          <w:szCs w:val="32"/>
        </w:rPr>
        <w:t>ENAC concede las primeras acreditaciones para el futuro régimen de comercio de derechos de emisión EU ETS 2</w:t>
      </w:r>
    </w:p>
    <w:p w:rsidR="00621714" w:rsidRDefault="00621714" w14:paraId="00000004" w14:textId="77777777">
      <w:pPr>
        <w:pStyle w:val="Normal0"/>
        <w:rPr>
          <w:rFonts w:ascii="Roboto" w:hAnsi="Roboto" w:eastAsia="Roboto" w:cs="Roboto"/>
          <w:sz w:val="32"/>
          <w:szCs w:val="32"/>
        </w:rPr>
      </w:pPr>
    </w:p>
    <w:p w:rsidR="00621714" w:rsidRDefault="00517155" w14:paraId="00000005" w14:textId="77777777">
      <w:pPr>
        <w:pStyle w:val="Normal0"/>
        <w:numPr>
          <w:ilvl w:val="0"/>
          <w:numId w:val="1"/>
        </w:numPr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En total, son cinco las entidades que han ampliado sus alcances de acreditación para este programa europeo según el Plan de Transición publicado por ENAC</w:t>
      </w:r>
    </w:p>
    <w:p w:rsidR="00621714" w:rsidRDefault="00517155" w14:paraId="00000006" w14:textId="77777777">
      <w:pPr>
        <w:pStyle w:val="Normal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 </w:t>
      </w:r>
    </w:p>
    <w:p w:rsidR="00621714" w:rsidRDefault="00517155" w14:paraId="00000007" w14:textId="351FBB68">
      <w:pPr>
        <w:pStyle w:val="Normal0"/>
        <w:jc w:val="both"/>
        <w:rPr>
          <w:rFonts w:ascii="Roboto" w:hAnsi="Roboto" w:eastAsia="Roboto" w:cs="Roboto"/>
          <w:sz w:val="22"/>
          <w:szCs w:val="22"/>
        </w:rPr>
      </w:pPr>
      <w:r w:rsidRPr="5C6B07CA" w:rsidR="00517155">
        <w:rPr>
          <w:rFonts w:ascii="Roboto" w:hAnsi="Roboto" w:eastAsia="Roboto" w:cs="Roboto"/>
          <w:sz w:val="22"/>
          <w:szCs w:val="22"/>
        </w:rPr>
        <w:t>Madrid, 1</w:t>
      </w:r>
      <w:r w:rsidRPr="5C6B07CA" w:rsidR="17026EC8">
        <w:rPr>
          <w:rFonts w:ascii="Roboto" w:hAnsi="Roboto" w:eastAsia="Roboto" w:cs="Roboto"/>
          <w:sz w:val="22"/>
          <w:szCs w:val="22"/>
        </w:rPr>
        <w:t>8</w:t>
      </w:r>
      <w:r w:rsidRPr="5C6B07CA" w:rsidR="00517155">
        <w:rPr>
          <w:rFonts w:ascii="Roboto" w:hAnsi="Roboto" w:eastAsia="Roboto" w:cs="Roboto"/>
          <w:sz w:val="22"/>
          <w:szCs w:val="22"/>
        </w:rPr>
        <w:t xml:space="preserve"> de febrero de 2026.- </w:t>
      </w:r>
      <w:sdt>
        <w:sdtPr>
          <w:id w:val="931454045"/>
          <w:tag w:val="goog_rdk_0"/>
          <w:placeholder>
            <w:docPart w:val="DefaultPlaceholder_1081868574"/>
          </w:placeholder>
        </w:sdtPr>
        <w:sdtContent>
          <w:r w:rsidRPr="5C6B07CA" w:rsidR="00517155">
            <w:rPr>
              <w:rFonts w:ascii="Roboto" w:hAnsi="Roboto" w:eastAsia="Roboto" w:cs="Roboto"/>
              <w:sz w:val="22"/>
              <w:szCs w:val="22"/>
            </w:rPr>
            <w:t xml:space="preserve">La </w:t>
          </w:r>
          <w:hyperlink r:id="Re7d6692fbe834adf">
            <w:r w:rsidRPr="5C6B07CA" w:rsidR="00517155">
              <w:rPr>
                <w:rFonts w:ascii="Roboto" w:hAnsi="Roboto" w:eastAsia="Roboto" w:cs="Roboto"/>
                <w:color w:val="1155CC"/>
                <w:sz w:val="22"/>
                <w:szCs w:val="22"/>
                <w:u w:val="single"/>
              </w:rPr>
              <w:t>Entidad Nacional de Acreditación</w:t>
            </w:r>
          </w:hyperlink>
          <w:r w:rsidRPr="5C6B07CA" w:rsidR="00517155">
            <w:rPr>
              <w:rFonts w:ascii="Roboto" w:hAnsi="Roboto" w:eastAsia="Roboto" w:cs="Roboto"/>
              <w:sz w:val="22"/>
              <w:szCs w:val="22"/>
            </w:rPr>
            <w:t xml:space="preserve"> (</w:t>
          </w:r>
        </w:sdtContent>
      </w:sdt>
      <w:r w:rsidRPr="5C6B07CA" w:rsidR="00517155">
        <w:rPr>
          <w:rFonts w:ascii="Roboto" w:hAnsi="Roboto" w:eastAsia="Roboto" w:cs="Roboto"/>
          <w:sz w:val="22"/>
          <w:szCs w:val="22"/>
        </w:rPr>
        <w:t>ENAC</w:t>
      </w:r>
      <w:sdt>
        <w:sdtPr>
          <w:id w:val="-56541214"/>
          <w:tag w:val="goog_rdk_1"/>
          <w:placeholder>
            <w:docPart w:val="DefaultPlaceholder_1081868574"/>
          </w:placeholder>
        </w:sdtPr>
        <w:sdtContent>
          <w:r w:rsidRPr="5C6B07CA" w:rsidR="00517155">
            <w:rPr>
              <w:rFonts w:ascii="Roboto" w:hAnsi="Roboto" w:eastAsia="Roboto" w:cs="Roboto"/>
              <w:sz w:val="22"/>
              <w:szCs w:val="22"/>
            </w:rPr>
            <w:t>)</w:t>
          </w:r>
        </w:sdtContent>
      </w:sdt>
      <w:r w:rsidRPr="5C6B07CA" w:rsidR="00517155">
        <w:rPr>
          <w:rFonts w:ascii="Roboto" w:hAnsi="Roboto" w:eastAsia="Roboto" w:cs="Roboto"/>
          <w:sz w:val="22"/>
          <w:szCs w:val="22"/>
        </w:rPr>
        <w:t xml:space="preserve"> ha concedido las </w:t>
      </w:r>
      <w:r w:rsidRPr="5C6B07CA" w:rsidR="00517155">
        <w:rPr>
          <w:rFonts w:ascii="Roboto" w:hAnsi="Roboto" w:eastAsia="Roboto" w:cs="Roboto"/>
          <w:b w:val="1"/>
          <w:bCs w:val="1"/>
          <w:sz w:val="22"/>
          <w:szCs w:val="22"/>
        </w:rPr>
        <w:t>primeras acreditaciones como verificadores del comercio de derecho de emisión para el futuro régimen de comercio de derechos de emisión para edificios, transporte por carretera</w:t>
      </w:r>
      <w:r w:rsidRPr="5C6B07CA" w:rsidR="00517155">
        <w:rPr>
          <w:rFonts w:ascii="Roboto" w:hAnsi="Roboto" w:eastAsia="Roboto" w:cs="Roboto"/>
          <w:sz w:val="22"/>
          <w:szCs w:val="22"/>
        </w:rPr>
        <w:t xml:space="preserve"> y otros sectores, conocido como EU ETS 2, en el marco de la </w:t>
      </w:r>
      <w:r w:rsidRPr="5C6B07CA" w:rsidR="00517155">
        <w:rPr>
          <w:rFonts w:ascii="Roboto" w:hAnsi="Roboto" w:eastAsia="Roboto" w:cs="Roboto"/>
          <w:b w:val="1"/>
          <w:bCs w:val="1"/>
          <w:sz w:val="22"/>
          <w:szCs w:val="22"/>
        </w:rPr>
        <w:t>Directiva (UE) 2023/959 del Parlamento Europeo y del Consejo</w:t>
      </w:r>
      <w:r w:rsidRPr="5C6B07CA" w:rsidR="00517155">
        <w:rPr>
          <w:rFonts w:ascii="Roboto" w:hAnsi="Roboto" w:eastAsia="Roboto" w:cs="Roboto"/>
          <w:sz w:val="22"/>
          <w:szCs w:val="22"/>
        </w:rPr>
        <w:t>.</w:t>
      </w:r>
    </w:p>
    <w:p w:rsidR="00621714" w:rsidRDefault="00621714" w14:paraId="00000008" w14:textId="77777777">
      <w:pPr>
        <w:pStyle w:val="Normal0"/>
        <w:jc w:val="both"/>
        <w:rPr>
          <w:rFonts w:ascii="Roboto" w:hAnsi="Roboto" w:eastAsia="Roboto" w:cs="Roboto"/>
          <w:sz w:val="22"/>
          <w:szCs w:val="22"/>
        </w:rPr>
      </w:pPr>
    </w:p>
    <w:p w:rsidR="00621714" w:rsidP="495EA328" w:rsidRDefault="00517155" w14:paraId="00000009" w14:textId="77777777">
      <w:pPr>
        <w:pStyle w:val="Normal0"/>
        <w:spacing w:after="160"/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495EA328" w:rsidR="00517155">
        <w:rPr>
          <w:rFonts w:ascii="Roboto" w:hAnsi="Roboto" w:eastAsia="Roboto" w:cs="Roboto"/>
          <w:sz w:val="22"/>
          <w:szCs w:val="22"/>
          <w:lang w:val="es-ES"/>
        </w:rPr>
        <w:t xml:space="preserve">En concreto, las entidades acreditadas que han ampliado sus alcances de acreditación para este programa europeo, según lo establecido en el Plan de Transición publicado por ENAC en 2025, son </w:t>
      </w:r>
      <w:r w:rsidRPr="495EA328" w:rsidR="00517155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AENOR Confía, Bureau Veritas Iberia, </w:t>
      </w:r>
      <w:r w:rsidRPr="495EA328" w:rsidR="00517155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Lgai</w:t>
      </w:r>
      <w:r w:rsidRPr="495EA328" w:rsidR="00517155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</w:t>
      </w:r>
      <w:r w:rsidRPr="495EA328" w:rsidR="00517155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Technological</w:t>
      </w:r>
      <w:r w:rsidRPr="495EA328" w:rsidR="00517155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Center, LRQA España y SGS Tecnos</w:t>
      </w:r>
      <w:r w:rsidRPr="495EA328" w:rsidR="00517155">
        <w:rPr>
          <w:rFonts w:ascii="Roboto" w:hAnsi="Roboto" w:eastAsia="Roboto" w:cs="Roboto"/>
          <w:sz w:val="22"/>
          <w:szCs w:val="22"/>
          <w:lang w:val="es-ES"/>
        </w:rPr>
        <w:t>.</w:t>
      </w:r>
    </w:p>
    <w:p w:rsidR="00621714" w:rsidRDefault="00517155" w14:paraId="0000000A" w14:textId="77777777">
      <w:pPr>
        <w:pStyle w:val="Normal0"/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El programa EU ETS 2, que estará completamente operativo en 2028, tuvo su origen como parte de las</w:t>
      </w:r>
      <w:r>
        <w:rPr>
          <w:rFonts w:ascii="Roboto" w:hAnsi="Roboto" w:eastAsia="Roboto" w:cs="Roboto"/>
          <w:color w:val="333333"/>
          <w:sz w:val="22"/>
          <w:szCs w:val="22"/>
        </w:rPr>
        <w:t xml:space="preserve"> </w:t>
      </w:r>
      <w:hyperlink w:anchor="our-climate-ambition-for-2030" r:id="rId11">
        <w:r>
          <w:rPr>
            <w:rFonts w:ascii="Roboto" w:hAnsi="Roboto" w:eastAsia="Roboto" w:cs="Roboto"/>
            <w:b/>
            <w:bCs/>
            <w:color w:val="62899C"/>
            <w:sz w:val="22"/>
            <w:szCs w:val="22"/>
            <w:u w:val="single"/>
          </w:rPr>
          <w:t>revisiones de 2023 de la Directiva ETS</w:t>
        </w:r>
      </w:hyperlink>
      <w:r>
        <w:rPr>
          <w:rFonts w:ascii="Roboto" w:hAnsi="Roboto" w:eastAsia="Roboto" w:cs="Roboto"/>
          <w:sz w:val="22"/>
          <w:szCs w:val="22"/>
        </w:rPr>
        <w:t>, creándose un nuevo sistema de comercio de emisiones, independiente del actual</w:t>
      </w:r>
      <w:r>
        <w:rPr>
          <w:rFonts w:ascii="Roboto" w:hAnsi="Roboto" w:eastAsia="Roboto" w:cs="Roboto"/>
          <w:color w:val="333333"/>
          <w:sz w:val="22"/>
          <w:szCs w:val="22"/>
        </w:rPr>
        <w:t xml:space="preserve"> </w:t>
      </w:r>
      <w:hyperlink r:id="rId12">
        <w:r>
          <w:rPr>
            <w:rFonts w:ascii="Roboto" w:hAnsi="Roboto" w:eastAsia="Roboto" w:cs="Roboto"/>
            <w:b/>
            <w:bCs/>
            <w:color w:val="62899C"/>
            <w:sz w:val="22"/>
            <w:szCs w:val="22"/>
            <w:u w:val="single"/>
          </w:rPr>
          <w:t>Sistema de Comercio de Emisiones de la UE (EU ETS1)</w:t>
        </w:r>
      </w:hyperlink>
      <w:r>
        <w:rPr>
          <w:rFonts w:ascii="Roboto" w:hAnsi="Roboto" w:eastAsia="Roboto" w:cs="Roboto"/>
          <w:color w:val="333333"/>
          <w:sz w:val="22"/>
          <w:szCs w:val="22"/>
        </w:rPr>
        <w:t xml:space="preserve">, </w:t>
      </w:r>
      <w:r>
        <w:rPr>
          <w:rFonts w:ascii="Roboto" w:hAnsi="Roboto" w:eastAsia="Roboto" w:cs="Roboto"/>
          <w:sz w:val="22"/>
          <w:szCs w:val="22"/>
        </w:rPr>
        <w:t xml:space="preserve">para </w:t>
      </w:r>
      <w:r>
        <w:rPr>
          <w:rFonts w:ascii="Roboto" w:hAnsi="Roboto" w:eastAsia="Roboto" w:cs="Roboto"/>
          <w:b/>
          <w:bCs/>
          <w:sz w:val="22"/>
          <w:szCs w:val="22"/>
        </w:rPr>
        <w:t>dar cobertura a las emisiones de CO2 derivadas de la combustión de combustibles fósiles en edificios, transporte por carretera y sectores adicionales, principalmente pequeñas industrias,</w:t>
      </w:r>
      <w:r>
        <w:rPr>
          <w:rFonts w:ascii="Roboto" w:hAnsi="Roboto" w:eastAsia="Roboto" w:cs="Roboto"/>
          <w:sz w:val="22"/>
          <w:szCs w:val="22"/>
        </w:rPr>
        <w:t xml:space="preserve"> no cubiertas por el actual ETS de la UE.</w:t>
      </w:r>
    </w:p>
    <w:p w:rsidR="00621714" w:rsidRDefault="00517155" w14:paraId="0000000B" w14:textId="77777777">
      <w:pPr>
        <w:pStyle w:val="Normal0"/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A diferencia del ETS 1, que regula directamente a las instalaciones emisores de gases efecto invernadero, el EU ETS 2 cubrirá las emisiones “aguas arriba”, es decir, en la etapa de producción y suministro, y serán los proveedores de combustible, y no los consumidores finales como hogares o usuarios de coches, quienes deberán monitorizar y reportar sus emisiones. Estas entidades deberán disponer de derechos suficientes para cubrir sus emisiones. El 100% de los derechos se obtendrán mediante subasta, ya que n</w:t>
      </w:r>
      <w:r>
        <w:rPr>
          <w:rFonts w:ascii="Roboto" w:hAnsi="Roboto" w:eastAsia="Roboto" w:cs="Roboto"/>
          <w:sz w:val="22"/>
          <w:szCs w:val="22"/>
        </w:rPr>
        <w:t>o existen derechos gratuitos. El precio del carbono fijado por el ETS2 proporcionará un incentivo de mercado para inversiones en renovaciones de edificios y movilidad de bajas emisiones.</w:t>
      </w:r>
    </w:p>
    <w:p w:rsidR="00621714" w:rsidRDefault="00517155" w14:paraId="0000000C" w14:textId="77777777">
      <w:pPr>
        <w:pStyle w:val="Normal0"/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Asimismo, el EU ETS2 complementará a otras políticas del </w:t>
      </w:r>
      <w:hyperlink r:id="rId13">
        <w:r>
          <w:rPr>
            <w:rFonts w:ascii="Roboto" w:hAnsi="Roboto" w:eastAsia="Roboto" w:cs="Roboto"/>
            <w:b/>
            <w:bCs/>
            <w:sz w:val="22"/>
            <w:szCs w:val="22"/>
            <w:u w:val="single"/>
          </w:rPr>
          <w:t>Pacto Verde Europeo</w:t>
        </w:r>
      </w:hyperlink>
      <w:r>
        <w:rPr>
          <w:rFonts w:ascii="Roboto" w:hAnsi="Roboto" w:eastAsia="Roboto" w:cs="Roboto"/>
          <w:sz w:val="22"/>
          <w:szCs w:val="22"/>
        </w:rPr>
        <w:t xml:space="preserve"> en los sectores cubiertos, ayudando a los Estados miembros a alcanzar sus objetivos de reducción de emisiones, encaminados hacia el objetivo de la UE de neutralidad climática para 2050.</w:t>
      </w:r>
    </w:p>
    <w:p w:rsidR="00621714" w:rsidRDefault="00517155" w14:paraId="0000000D" w14:textId="77777777">
      <w:pPr>
        <w:pStyle w:val="Normal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/>
        <w:jc w:val="both"/>
        <w:rPr>
          <w:rFonts w:ascii="Roboto" w:hAnsi="Roboto" w:eastAsia="Roboto" w:cs="Roboto"/>
          <w:color w:val="E83544"/>
          <w:sz w:val="22"/>
          <w:szCs w:val="22"/>
        </w:rPr>
      </w:pPr>
      <w:r>
        <w:rPr>
          <w:rFonts w:ascii="Roboto" w:hAnsi="Roboto" w:eastAsia="Roboto" w:cs="Roboto"/>
          <w:b/>
          <w:bCs/>
          <w:color w:val="E83544"/>
          <w:sz w:val="22"/>
          <w:szCs w:val="22"/>
        </w:rPr>
        <w:t>Sobre ENAC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w:rsidR="00621714" w:rsidRDefault="00517155" w14:paraId="0000000E" w14:textId="77777777">
      <w:pPr>
        <w:pStyle w:val="Normal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w:rsidR="00621714" w:rsidRDefault="00621714" w14:paraId="0000000F" w14:textId="77777777">
      <w:pPr>
        <w:pStyle w:val="Normal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w:rsidR="00621714" w:rsidRDefault="00621714" w14:paraId="00000010" w14:textId="77777777">
      <w:pPr>
        <w:pStyle w:val="Normal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w:rsidR="00621714" w:rsidRDefault="00621714" w14:paraId="00000011" w14:textId="77777777">
      <w:pPr>
        <w:pStyle w:val="Normal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w:rsidR="00621714" w:rsidRDefault="00517155" w14:paraId="00000012" w14:textId="77777777">
      <w:pPr>
        <w:pStyle w:val="Normal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</w:t>
      </w:r>
      <w:r>
        <w:rPr>
          <w:rFonts w:ascii="Roboto" w:hAnsi="Roboto" w:eastAsia="Roboto" w:cs="Roboto"/>
          <w:sz w:val="22"/>
          <w:szCs w:val="22"/>
        </w:rPr>
        <w:t xml:space="preserve">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w:rsidR="00621714" w:rsidRDefault="00621714" w14:paraId="00000013" w14:textId="77777777">
      <w:pPr>
        <w:pStyle w:val="Normal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w:rsidR="00621714" w:rsidRDefault="00517155" w14:paraId="00000014" w14:textId="77777777">
      <w:pPr>
        <w:pStyle w:val="Normal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w:rsidR="00621714" w:rsidRDefault="00621714" w14:paraId="00000015" w14:textId="77777777">
      <w:pPr>
        <w:pStyle w:val="Normal0"/>
        <w:jc w:val="both"/>
        <w:rPr>
          <w:rFonts w:ascii="Roboto" w:hAnsi="Roboto" w:eastAsia="Roboto" w:cs="Roboto"/>
          <w:sz w:val="22"/>
          <w:szCs w:val="22"/>
        </w:rPr>
      </w:pPr>
    </w:p>
    <w:p w:rsidR="00621714" w:rsidRDefault="00621714" w14:paraId="00000016" w14:textId="77777777">
      <w:pPr>
        <w:pStyle w:val="Normal0"/>
        <w:jc w:val="both"/>
        <w:rPr>
          <w:rFonts w:ascii="Roboto" w:hAnsi="Roboto" w:eastAsia="Roboto" w:cs="Roboto"/>
          <w:sz w:val="22"/>
          <w:szCs w:val="22"/>
        </w:rPr>
      </w:pPr>
    </w:p>
    <w:p w:rsidR="00621714" w:rsidRDefault="00517155" w14:paraId="00000017" w14:textId="77777777">
      <w:pPr>
        <w:pStyle w:val="Normal0"/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4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w:rsidR="00621714" w:rsidRDefault="00621714" w14:paraId="00000018" w14:textId="77777777">
      <w:pPr>
        <w:pStyle w:val="Normal0"/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621714" w:rsidRDefault="00517155" w14:paraId="00000019" w14:textId="77777777">
      <w:pPr>
        <w:pStyle w:val="Normal0"/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color w:val="0000FF"/>
          <w:sz w:val="22"/>
          <w:szCs w:val="22"/>
        </w:rPr>
        <w:t xml:space="preserve"> 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distT="0" distB="0" distL="0" distR="0" wp14:anchorId="6E726AAA" wp14:editId="07777777">
            <wp:extent cx="304800" cy="304800"/>
            <wp:effectExtent l="0" t="0" r="0" b="0"/>
            <wp:docPr id="17099659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1714" w:rsidRDefault="00621714" w14:paraId="0000001A" w14:textId="77777777">
      <w:pPr>
        <w:pStyle w:val="Normal0"/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621714" w:rsidRDefault="00621714" w14:paraId="0000001B" w14:textId="77777777">
      <w:pPr>
        <w:pStyle w:val="Normal0"/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621714" w:rsidRDefault="00517155" w14:paraId="0000001C" w14:textId="77777777">
      <w:pPr>
        <w:pStyle w:val="Normal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w:rsidR="00621714" w:rsidRDefault="00517155" w14:paraId="0000001D" w14:textId="77777777">
      <w:pPr>
        <w:pStyle w:val="Normal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w:rsidR="00621714" w:rsidRDefault="00517155" w14:paraId="0000001E" w14:textId="77777777">
      <w:pPr>
        <w:pStyle w:val="Normal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6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p w:rsidR="00621714" w:rsidRDefault="00621714" w14:paraId="0000001F" w14:textId="77777777">
      <w:pPr>
        <w:pStyle w:val="Normal0"/>
        <w:spacing w:after="160"/>
        <w:jc w:val="both"/>
        <w:rPr>
          <w:rFonts w:ascii="Roboto" w:hAnsi="Roboto" w:eastAsia="Roboto" w:cs="Roboto"/>
          <w:color w:val="333333"/>
          <w:sz w:val="27"/>
          <w:szCs w:val="27"/>
          <w:highlight w:val="white"/>
        </w:rPr>
      </w:pPr>
    </w:p>
    <w:p w:rsidR="00621714" w:rsidRDefault="00621714" w14:paraId="00000020" w14:textId="77777777">
      <w:pPr>
        <w:pStyle w:val="Normal0"/>
      </w:pPr>
    </w:p>
    <w:p w:rsidR="00621714" w:rsidRDefault="00621714" w14:paraId="00000021" w14:textId="77777777">
      <w:pPr>
        <w:pStyle w:val="Normal0"/>
      </w:pPr>
    </w:p>
    <w:p w:rsidR="00621714" w:rsidRDefault="00621714" w14:paraId="00000022" w14:textId="77777777">
      <w:pPr>
        <w:pStyle w:val="Normal0"/>
      </w:pPr>
    </w:p>
    <w:p w:rsidR="00621714" w:rsidRDefault="00621714" w14:paraId="0000002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highlight w:val="white"/>
        </w:rPr>
      </w:pPr>
    </w:p>
    <w:sectPr w:rsidR="006217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orient="portrait"/>
      <w:pgMar w:top="1417" w:right="1701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17155" w:rsidRDefault="00517155" w14:paraId="4A9B77E3" w14:textId="77777777">
      <w:r>
        <w:separator/>
      </w:r>
    </w:p>
  </w:endnote>
  <w:endnote w:type="continuationSeparator" w:id="0">
    <w:p w:rsidR="00517155" w:rsidRDefault="00517155" w14:paraId="14AB0F4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78162B93-5DE8-45F5-B01A-92E4E2BF2B7A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171ACDB2-FBFF-4950-9098-400F6BE80141}" r:id="rId2"/>
    <w:embedBold w:fontKey="{65300AF8-D572-4D62-A077-94593353A603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1572A94-95E0-4179-AB7B-1815BA546FF3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3250D34-161B-432C-B4B9-19FBC138E737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1714" w:rsidRDefault="00621714" w14:paraId="0000002E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1714" w:rsidRDefault="00517155" w14:paraId="0000002B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621714" w:rsidRDefault="00621714" w14:paraId="0000002C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1714" w:rsidRDefault="00621714" w14:paraId="0000002D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17155" w:rsidRDefault="00517155" w14:paraId="1E33288A" w14:textId="77777777">
      <w:r>
        <w:separator/>
      </w:r>
    </w:p>
  </w:footnote>
  <w:footnote w:type="continuationSeparator" w:id="0">
    <w:p w:rsidR="00517155" w:rsidRDefault="00517155" w14:paraId="4195A6B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1714" w:rsidRDefault="00621714" w14:paraId="0000002A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621714" w:rsidRDefault="00517155" w14:paraId="00000024" w14:textId="77777777">
    <w:pPr>
      <w:pStyle w:val="Normal0"/>
      <w:spacing w:line="276" w:lineRule="auto"/>
    </w:pPr>
    <w:r>
      <w:t xml:space="preserve">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62C8A4F1" wp14:editId="07777777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1240365" cy="805879"/>
          <wp:effectExtent l="0" t="0" r="0" b="0"/>
          <wp:wrapNone/>
          <wp:docPr id="17099659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0365" cy="8058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272102CF" wp14:editId="07777777">
          <wp:simplePos x="0" y="0"/>
          <wp:positionH relativeFrom="column">
            <wp:posOffset>4152900</wp:posOffset>
          </wp:positionH>
          <wp:positionV relativeFrom="paragraph">
            <wp:posOffset>142875</wp:posOffset>
          </wp:positionV>
          <wp:extent cx="1157297" cy="684798"/>
          <wp:effectExtent l="0" t="0" r="0" b="0"/>
          <wp:wrapNone/>
          <wp:docPr id="170996595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-8" b="-8"/>
                  <a:stretch>
                    <a:fillRect/>
                  </a:stretch>
                </pic:blipFill>
                <pic:spPr>
                  <a:xfrm>
                    <a:off x="0" y="0"/>
                    <a:ext cx="1157297" cy="684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21714" w:rsidRDefault="00621714" w14:paraId="00000025" w14:textId="77777777">
    <w:pPr>
      <w:pStyle w:val="Normal0"/>
      <w:spacing w:line="276" w:lineRule="auto"/>
    </w:pPr>
  </w:p>
  <w:p w:rsidR="00621714" w:rsidRDefault="00621714" w14:paraId="00000026" w14:textId="77777777">
    <w:pPr>
      <w:pStyle w:val="Normal0"/>
      <w:spacing w:line="276" w:lineRule="auto"/>
    </w:pPr>
  </w:p>
  <w:p w:rsidR="00621714" w:rsidRDefault="00621714" w14:paraId="00000027" w14:textId="77777777">
    <w:pPr>
      <w:pStyle w:val="Normal0"/>
      <w:spacing w:line="276" w:lineRule="auto"/>
    </w:pPr>
  </w:p>
  <w:p w:rsidR="00621714" w:rsidRDefault="00621714" w14:paraId="00000028" w14:textId="77777777">
    <w:pPr>
      <w:pStyle w:val="Normal0"/>
      <w:spacing w:line="276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1714" w:rsidRDefault="00621714" w14:paraId="00000029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4060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2463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714"/>
    <w:rsid w:val="00517155"/>
    <w:rsid w:val="00621714"/>
    <w:rsid w:val="00EC3EA7"/>
    <w:rsid w:val="17026EC8"/>
    <w:rsid w:val="495EA328"/>
    <w:rsid w:val="5C6B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6E3AF0"/>
  <w15:docId w15:val="{98C2727E-60D0-45B9-B090-3494A46D5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NormalTable0" w:customStyle="1">
    <w:name w:val="Normal Tabl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0" w:customStyle="1">
    <w:name w:val="Normal0"/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 w:customStyle="1">
    <w:name w:val="Table Normal4"/>
    <w:rsid w:val="006F08E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rsid w:val="009755B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rsid w:val="00A46C3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NormalTable00" w:customStyle="1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7858B3"/>
  </w:style>
  <w:style w:type="character" w:styleId="Hipervnculo">
    <w:name w:val="Hyperlink"/>
    <w:basedOn w:val="Fuentedeprrafopredeter"/>
    <w:uiPriority w:val="99"/>
    <w:unhideWhenUsed/>
    <w:rsid w:val="00615075"/>
    <w:rPr>
      <w:color w:val="0000FF"/>
      <w:u w:val="single"/>
    </w:rPr>
  </w:style>
  <w:style w:type="paragraph" w:styleId="Encabezado">
    <w:name w:val="header"/>
    <w:basedOn w:val="Normal0"/>
    <w:link w:val="EncabezadoC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semiHidden/>
    <w:rsid w:val="00C215DA"/>
  </w:style>
  <w:style w:type="paragraph" w:styleId="Piedepgina">
    <w:name w:val="footer"/>
    <w:basedOn w:val="Normal0"/>
    <w:link w:val="PiedepginaC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semiHidden/>
    <w:rsid w:val="00C215DA"/>
  </w:style>
  <w:style w:type="character" w:styleId="Hipervnculovisitado">
    <w:name w:val="FollowedHyperlink"/>
    <w:basedOn w:val="Fuentedeprrafopredeter"/>
    <w:uiPriority w:val="99"/>
    <w:semiHidden/>
    <w:unhideWhenUsed/>
    <w:rsid w:val="00615075"/>
    <w:rPr>
      <w:color w:val="800080" w:themeColor="followedHyperlink"/>
      <w:u w:val="single"/>
    </w:rPr>
  </w:style>
  <w:style w:type="character" w:styleId="Fuerte">
    <w:name w:val="Strong"/>
    <w:basedOn w:val="Fuentedeprrafopredeter"/>
    <w:uiPriority w:val="22"/>
    <w:qFormat/>
    <w:rsid w:val="001466CE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3A12A1"/>
    <w:rPr>
      <w:sz w:val="16"/>
      <w:szCs w:val="16"/>
    </w:rPr>
  </w:style>
  <w:style w:type="paragraph" w:styleId="Textocomentario">
    <w:name w:val="annotation text"/>
    <w:basedOn w:val="Normal0"/>
    <w:link w:val="TextocomentarioCar"/>
    <w:uiPriority w:val="99"/>
    <w:unhideWhenUsed/>
    <w:rsid w:val="003A12A1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3A12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12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A12A1"/>
    <w:rPr>
      <w:b/>
      <w:bCs/>
      <w:sz w:val="20"/>
      <w:szCs w:val="20"/>
    </w:rPr>
  </w:style>
  <w:style w:type="table" w:styleId="TableNormal10" w:customStyle="1">
    <w:name w:val="Table Normal1"/>
    <w:rsid w:val="00FB6A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ommission.europa.eu/strategy-and-policy/priorities-2019-2024/european-green-deal_en" TargetMode="Externa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header" Target="header3.xml" Id="rId21" /><Relationship Type="http://schemas.openxmlformats.org/officeDocument/2006/relationships/settings" Target="settings.xml" Id="rId7" /><Relationship Type="http://schemas.openxmlformats.org/officeDocument/2006/relationships/hyperlink" Target="https://climate.ec.europa.eu/eu-action/carbon-markets/about-eu-ets_en" TargetMode="External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mailto:evamc@varenga.es" TargetMode="External" Id="rId16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climate.ec.europa.eu/eu-action/carbon-markets/about-eu-ets_en" TargetMode="Externa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image" Target="media/image1.png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www.enac.es" TargetMode="External" Id="rId14" /><Relationship Type="http://schemas.openxmlformats.org/officeDocument/2006/relationships/footer" Target="footer3.xml" Id="rId22" /><Relationship Type="http://schemas.openxmlformats.org/officeDocument/2006/relationships/hyperlink" Target="https://www.enac.es/" TargetMode="External" Id="Re7d6692fbe834ad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ozXxeKj+E1PUsUR9wtGHM3B2Gw==">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35b7714a55062d14d892f3522112704a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92a12215dc0792136b523b9589aa527d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Props1.xml><?xml version="1.0" encoding="utf-8"?>
<ds:datastoreItem xmlns:ds="http://schemas.openxmlformats.org/officeDocument/2006/customXml" ds:itemID="{B2EC8E37-041D-4123-91B3-6B62C15AAF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D4C76A-E7E1-480F-9F78-E388528A3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22F19A-43D8-41DF-82D1-14993DE79CB3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Irene Gonzalez Fernandez</dc:creator>
  <lastModifiedBy>Eva Martín</lastModifiedBy>
  <revision>3</revision>
  <dcterms:created xsi:type="dcterms:W3CDTF">2026-02-17T09:28:00.0000000Z</dcterms:created>
  <dcterms:modified xsi:type="dcterms:W3CDTF">2026-02-18T08:48:14.1528499Z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