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0C" w:rsidRDefault="0043370C" w:rsidP="00EE78E1">
      <w:pPr>
        <w:pStyle w:val="Encabezado"/>
        <w:jc w:val="center"/>
        <w:rPr>
          <w:b/>
          <w:sz w:val="32"/>
          <w:szCs w:val="32"/>
          <w:u w:val="single"/>
        </w:rPr>
      </w:pPr>
    </w:p>
    <w:p w:rsidR="00EE78E1" w:rsidRDefault="00EE78E1" w:rsidP="00EE78E1">
      <w:pPr>
        <w:pStyle w:val="Encabezado"/>
        <w:jc w:val="center"/>
        <w:rPr>
          <w:b/>
          <w:sz w:val="36"/>
          <w:szCs w:val="36"/>
        </w:rPr>
      </w:pPr>
    </w:p>
    <w:p w:rsidR="004F4B2D" w:rsidRPr="008F21CE" w:rsidRDefault="004F4B2D" w:rsidP="00EE78E1">
      <w:pPr>
        <w:pStyle w:val="Encabezad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inspección acreditada por ENAC será necesaria para cumplir con los </w:t>
      </w:r>
      <w:r w:rsidRPr="00C861EA">
        <w:rPr>
          <w:b/>
          <w:sz w:val="36"/>
          <w:szCs w:val="36"/>
        </w:rPr>
        <w:t>requisitos</w:t>
      </w:r>
      <w:r>
        <w:rPr>
          <w:b/>
          <w:sz w:val="36"/>
          <w:szCs w:val="36"/>
        </w:rPr>
        <w:t xml:space="preserve"> legales</w:t>
      </w:r>
      <w:r w:rsidRPr="00C861EA">
        <w:rPr>
          <w:b/>
          <w:sz w:val="36"/>
          <w:szCs w:val="36"/>
        </w:rPr>
        <w:t xml:space="preserve"> de eficiencia</w:t>
      </w:r>
      <w:r>
        <w:rPr>
          <w:b/>
          <w:sz w:val="36"/>
          <w:szCs w:val="36"/>
        </w:rPr>
        <w:t xml:space="preserve"> en cogeneración energética</w:t>
      </w:r>
    </w:p>
    <w:p w:rsidR="0043370C" w:rsidRPr="008F21CE" w:rsidRDefault="0043370C" w:rsidP="007C785A">
      <w:pPr>
        <w:pStyle w:val="Encabezado"/>
        <w:jc w:val="both"/>
        <w:rPr>
          <w:b/>
        </w:rPr>
      </w:pPr>
    </w:p>
    <w:p w:rsidR="008F21CE" w:rsidRPr="008F21CE" w:rsidRDefault="008F21CE" w:rsidP="008F21C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8F21CE">
        <w:rPr>
          <w:b/>
        </w:rPr>
        <w:t>L</w:t>
      </w:r>
      <w:r w:rsidRPr="008F21CE">
        <w:rPr>
          <w:b/>
          <w:lang w:val="es-ES_tradnl"/>
        </w:rPr>
        <w:t xml:space="preserve">a </w:t>
      </w:r>
      <w:r w:rsidR="002A357B">
        <w:rPr>
          <w:b/>
          <w:lang w:val="es-ES_tradnl"/>
        </w:rPr>
        <w:t xml:space="preserve">Dirección de Energía </w:t>
      </w:r>
      <w:r w:rsidR="0082257D" w:rsidRPr="008F21CE">
        <w:rPr>
          <w:b/>
        </w:rPr>
        <w:t xml:space="preserve">de la </w:t>
      </w:r>
      <w:r w:rsidR="0082257D" w:rsidRPr="00F77C44">
        <w:rPr>
          <w:b/>
        </w:rPr>
        <w:t>Comisión Nacional de los Mercados y la Competencia</w:t>
      </w:r>
      <w:r w:rsidR="0082257D" w:rsidRPr="00E87A2F">
        <w:t xml:space="preserve"> </w:t>
      </w:r>
      <w:r w:rsidR="0082257D">
        <w:t>(</w:t>
      </w:r>
      <w:r w:rsidR="0082257D" w:rsidRPr="008F21CE">
        <w:rPr>
          <w:b/>
        </w:rPr>
        <w:t>CNMC</w:t>
      </w:r>
      <w:r w:rsidR="0082257D">
        <w:rPr>
          <w:b/>
        </w:rPr>
        <w:t>)</w:t>
      </w:r>
      <w:r w:rsidRPr="008F21CE">
        <w:rPr>
          <w:b/>
          <w:lang w:val="es-ES_tradnl"/>
        </w:rPr>
        <w:t xml:space="preserve"> ha solicitado a ENAC la elaboración de un esquema de acreditación</w:t>
      </w:r>
      <w:r w:rsidRPr="008F21CE">
        <w:rPr>
          <w:lang w:val="es-ES_tradnl"/>
        </w:rPr>
        <w:t xml:space="preserve"> </w:t>
      </w:r>
      <w:r w:rsidRPr="008F21CE">
        <w:rPr>
          <w:b/>
          <w:lang w:val="es-ES_tradnl"/>
        </w:rPr>
        <w:t>para el que deberán acreditarse en su momento todas las entidades que deseen realizar dicha actividad</w:t>
      </w:r>
    </w:p>
    <w:p w:rsidR="0043370C" w:rsidRDefault="0043370C" w:rsidP="0043370C">
      <w:pPr>
        <w:pStyle w:val="Encabezado"/>
        <w:numPr>
          <w:ilvl w:val="0"/>
          <w:numId w:val="1"/>
        </w:numPr>
        <w:jc w:val="both"/>
        <w:rPr>
          <w:b/>
        </w:rPr>
      </w:pPr>
      <w:r>
        <w:rPr>
          <w:b/>
        </w:rPr>
        <w:t>La cogeneración genera ya casi el 12% de la electricidad en España</w:t>
      </w:r>
      <w:r w:rsidR="002A357B">
        <w:rPr>
          <w:b/>
        </w:rPr>
        <w:t xml:space="preserve"> según </w:t>
      </w:r>
      <w:r w:rsidR="002A357B" w:rsidRPr="00EE78E1">
        <w:rPr>
          <w:b/>
        </w:rPr>
        <w:t>datos de la Asociación Española de Cogeneración (ACOGEN</w:t>
      </w:r>
      <w:r w:rsidR="002A357B" w:rsidRPr="0043370C">
        <w:rPr>
          <w:i/>
        </w:rPr>
        <w:t xml:space="preserve">) </w:t>
      </w:r>
      <w:r w:rsidRPr="0043370C">
        <w:rPr>
          <w:b/>
          <w:sz w:val="16"/>
          <w:szCs w:val="16"/>
          <w:vertAlign w:val="superscript"/>
        </w:rPr>
        <w:t xml:space="preserve"> </w:t>
      </w:r>
    </w:p>
    <w:p w:rsidR="0043370C" w:rsidRDefault="0043370C" w:rsidP="0043370C">
      <w:pPr>
        <w:pStyle w:val="Prrafodelista"/>
        <w:rPr>
          <w:b/>
        </w:rPr>
      </w:pPr>
    </w:p>
    <w:p w:rsidR="008F21CE" w:rsidRDefault="0043370C" w:rsidP="00DD6E0A">
      <w:pPr>
        <w:jc w:val="both"/>
      </w:pPr>
      <w:r w:rsidRPr="00EE78E1">
        <w:t xml:space="preserve">Madrid, </w:t>
      </w:r>
      <w:r w:rsidR="00EE78E1" w:rsidRPr="00EE78E1">
        <w:t>1</w:t>
      </w:r>
      <w:r w:rsidR="006B0772">
        <w:t>6</w:t>
      </w:r>
      <w:bookmarkStart w:id="0" w:name="_GoBack"/>
      <w:bookmarkEnd w:id="0"/>
      <w:r w:rsidRPr="00EE78E1">
        <w:t xml:space="preserve"> de enero de 2019.- </w:t>
      </w:r>
      <w:r w:rsidR="008F21CE" w:rsidRPr="00EE78E1">
        <w:t xml:space="preserve">La </w:t>
      </w:r>
      <w:r w:rsidR="008F21CE" w:rsidRPr="00EE78E1">
        <w:rPr>
          <w:b/>
        </w:rPr>
        <w:t>Entidad Nacional de Acreditación</w:t>
      </w:r>
      <w:r w:rsidR="008F21CE" w:rsidRPr="00EE78E1">
        <w:t xml:space="preserve"> (ENAC) está preparando </w:t>
      </w:r>
      <w:r w:rsidR="00E76744">
        <w:t xml:space="preserve">un esquema de acreditación para la inspección de procesos de cogeneración de energía </w:t>
      </w:r>
      <w:r w:rsidR="008F21CE">
        <w:t xml:space="preserve">con la colaboración de </w:t>
      </w:r>
      <w:r w:rsidR="008F21CE" w:rsidRPr="00E87A2F">
        <w:t xml:space="preserve">la </w:t>
      </w:r>
      <w:r w:rsidR="008F21CE" w:rsidRPr="008F21CE">
        <w:rPr>
          <w:b/>
        </w:rPr>
        <w:t xml:space="preserve">Dirección de Energía de la </w:t>
      </w:r>
      <w:r w:rsidR="00F77C44" w:rsidRPr="00F77C44">
        <w:rPr>
          <w:b/>
        </w:rPr>
        <w:t>Comisión Nacional de los Mercados y la Competencia</w:t>
      </w:r>
      <w:r w:rsidR="00F77C44" w:rsidRPr="00E87A2F">
        <w:t xml:space="preserve"> </w:t>
      </w:r>
      <w:r w:rsidR="00F77C44">
        <w:t>(</w:t>
      </w:r>
      <w:r w:rsidR="008F21CE" w:rsidRPr="008F21CE">
        <w:rPr>
          <w:b/>
        </w:rPr>
        <w:t>CNMC</w:t>
      </w:r>
      <w:r w:rsidR="00F77C44">
        <w:rPr>
          <w:b/>
        </w:rPr>
        <w:t>)</w:t>
      </w:r>
      <w:r w:rsidR="00E76744">
        <w:rPr>
          <w:b/>
        </w:rPr>
        <w:t xml:space="preserve">. </w:t>
      </w:r>
      <w:r w:rsidR="008F21CE">
        <w:t xml:space="preserve"> El esquema</w:t>
      </w:r>
      <w:r w:rsidR="00117AF7">
        <w:t>, que</w:t>
      </w:r>
      <w:r w:rsidR="008F21CE">
        <w:t xml:space="preserve"> estará basado en la norma </w:t>
      </w:r>
      <w:r w:rsidR="008F21CE" w:rsidRPr="008F21CE">
        <w:rPr>
          <w:b/>
        </w:rPr>
        <w:t>UNE EN-ISO/IEC 17020</w:t>
      </w:r>
      <w:r w:rsidR="00117AF7">
        <w:rPr>
          <w:b/>
        </w:rPr>
        <w:t>,</w:t>
      </w:r>
      <w:r w:rsidR="00F77C44">
        <w:t xml:space="preserve"> </w:t>
      </w:r>
      <w:r w:rsidR="002A357B">
        <w:t>se espera que pueda hacerse público</w:t>
      </w:r>
      <w:r w:rsidR="008F21CE">
        <w:t xml:space="preserve"> </w:t>
      </w:r>
      <w:r w:rsidR="002A357B">
        <w:t xml:space="preserve">en </w:t>
      </w:r>
      <w:r w:rsidR="008F21CE">
        <w:t xml:space="preserve">los primeros meses de este año. </w:t>
      </w:r>
      <w:r w:rsidR="002A357B">
        <w:t>Además, está</w:t>
      </w:r>
      <w:r w:rsidR="002A357B" w:rsidRPr="00E87A2F">
        <w:t xml:space="preserve"> previsto ampliar </w:t>
      </w:r>
      <w:r w:rsidR="00D64F65" w:rsidRPr="00E87A2F">
        <w:t xml:space="preserve">posteriormente </w:t>
      </w:r>
      <w:r w:rsidR="002A357B" w:rsidRPr="00E87A2F">
        <w:t xml:space="preserve">su ámbito de aplicación a </w:t>
      </w:r>
      <w:r w:rsidR="002A357B" w:rsidRPr="00E87A2F">
        <w:rPr>
          <w:lang w:val="es-ES_tradnl"/>
        </w:rPr>
        <w:t>los sistemas de verificación de porcentajes de gas utilizado</w:t>
      </w:r>
      <w:r w:rsidR="00D64F65">
        <w:rPr>
          <w:lang w:val="es-ES_tradnl"/>
        </w:rPr>
        <w:t>s</w:t>
      </w:r>
      <w:r w:rsidR="002A357B" w:rsidRPr="00E87A2F">
        <w:rPr>
          <w:lang w:val="es-ES_tradnl"/>
        </w:rPr>
        <w:t xml:space="preserve"> en centrales termo solares y del mix de combustible en centrales h</w:t>
      </w:r>
      <w:r w:rsidR="002A357B">
        <w:rPr>
          <w:lang w:val="es-ES_tradnl"/>
        </w:rPr>
        <w:t>í</w:t>
      </w:r>
      <w:r w:rsidR="002A357B" w:rsidRPr="00E87A2F">
        <w:rPr>
          <w:lang w:val="es-ES_tradnl"/>
        </w:rPr>
        <w:t>bridas de biomasa.</w:t>
      </w:r>
    </w:p>
    <w:p w:rsidR="008F21CE" w:rsidRPr="008F21CE" w:rsidRDefault="008F21CE" w:rsidP="00DD6E0A">
      <w:pPr>
        <w:jc w:val="both"/>
        <w:rPr>
          <w:b/>
          <w:u w:val="single"/>
        </w:rPr>
      </w:pPr>
      <w:r w:rsidRPr="008F21CE">
        <w:rPr>
          <w:b/>
          <w:u w:val="single"/>
        </w:rPr>
        <w:t>Garantía de eficiencia y competencia</w:t>
      </w:r>
    </w:p>
    <w:p w:rsidR="00076EAF" w:rsidRPr="00E87A2F" w:rsidRDefault="00076EAF" w:rsidP="00DD6E0A">
      <w:pPr>
        <w:jc w:val="both"/>
      </w:pPr>
      <w:r w:rsidRPr="00E87A2F">
        <w:t>La Comisión Nacional de los Mercados y la Competencia</w:t>
      </w:r>
      <w:r w:rsidR="00260577" w:rsidRPr="00E87A2F">
        <w:t xml:space="preserve"> (CNMC)</w:t>
      </w:r>
      <w:r w:rsidR="00F77C44">
        <w:t xml:space="preserve"> </w:t>
      </w:r>
      <w:r w:rsidRPr="00E87A2F">
        <w:t>y</w:t>
      </w:r>
      <w:r w:rsidR="00F77C44">
        <w:t>,</w:t>
      </w:r>
      <w:r w:rsidRPr="00E87A2F">
        <w:t xml:space="preserve"> en concreto su Dirección de Energía, tiene entre sus funciones la liquidación de la retribución específica a las instalaciones de generación de energía eléctrica a partir de energías renovables, cogeneración y residuos (</w:t>
      </w:r>
      <w:r w:rsidRPr="00C45EE2">
        <w:t>según se dispone en el artículo 29 del Real Decreto 413/2014, de 6 de junio</w:t>
      </w:r>
      <w:r w:rsidRPr="00E87A2F">
        <w:t>).</w:t>
      </w:r>
    </w:p>
    <w:p w:rsidR="00B66E91" w:rsidRDefault="008D5276" w:rsidP="00D53732">
      <w:pPr>
        <w:jc w:val="both"/>
      </w:pPr>
      <w:r w:rsidRPr="00E87A2F">
        <w:t>Para llevar a cabo esta función</w:t>
      </w:r>
      <w:r w:rsidR="00076EAF" w:rsidRPr="00E87A2F">
        <w:t xml:space="preserve"> también </w:t>
      </w:r>
      <w:r w:rsidRPr="00E87A2F">
        <w:t>se ha</w:t>
      </w:r>
      <w:r w:rsidR="008F21CE">
        <w:t xml:space="preserve"> </w:t>
      </w:r>
      <w:r w:rsidRPr="00E87A2F">
        <w:t>de</w:t>
      </w:r>
      <w:r w:rsidR="00076EAF" w:rsidRPr="00E87A2F">
        <w:t xml:space="preserve"> comprobar que l</w:t>
      </w:r>
      <w:r w:rsidR="0030334E" w:rsidRPr="00E87A2F">
        <w:t>a</w:t>
      </w:r>
      <w:r w:rsidR="00076EAF" w:rsidRPr="00E87A2F">
        <w:t>s mism</w:t>
      </w:r>
      <w:r w:rsidR="0030334E" w:rsidRPr="00E87A2F">
        <w:t>a</w:t>
      </w:r>
      <w:r w:rsidR="00076EAF" w:rsidRPr="00E87A2F">
        <w:t>s cumplen las obligaciones establecidas en toda la normativa de aplicación</w:t>
      </w:r>
      <w:r w:rsidRPr="00E87A2F">
        <w:t>,</w:t>
      </w:r>
      <w:r w:rsidR="00076EAF" w:rsidRPr="00E87A2F">
        <w:t xml:space="preserve"> entre las que se encuentran, en el caso de las instalaciones de </w:t>
      </w:r>
      <w:r w:rsidR="00076EAF" w:rsidRPr="00B66E91">
        <w:t>cogeneración</w:t>
      </w:r>
      <w:r w:rsidR="00B66E91">
        <w:t xml:space="preserve">, el cumplimiento de los requisitos de eficiencia que deben ser evaluados por entidades reconocidas. </w:t>
      </w:r>
    </w:p>
    <w:p w:rsidR="00C2396A" w:rsidRPr="00E87A2F" w:rsidRDefault="00076EAF" w:rsidP="00D53732">
      <w:pPr>
        <w:jc w:val="both"/>
        <w:rPr>
          <w:lang w:val="es-ES_tradnl"/>
        </w:rPr>
      </w:pPr>
      <w:r w:rsidRPr="00E87A2F">
        <w:rPr>
          <w:lang w:val="es-ES_tradnl"/>
        </w:rPr>
        <w:t>En este contexto</w:t>
      </w:r>
      <w:r w:rsidR="00260577" w:rsidRPr="00E87A2F">
        <w:rPr>
          <w:lang w:val="es-ES_tradnl"/>
        </w:rPr>
        <w:t>,</w:t>
      </w:r>
      <w:r w:rsidRPr="00E87A2F">
        <w:rPr>
          <w:lang w:val="es-ES_tradnl"/>
        </w:rPr>
        <w:t xml:space="preserve"> y c</w:t>
      </w:r>
      <w:r w:rsidR="00C2396A" w:rsidRPr="00E87A2F">
        <w:rPr>
          <w:lang w:val="es-ES_tradnl"/>
        </w:rPr>
        <w:t>on el fin de incrementar el control sobre dichos organismos</w:t>
      </w:r>
      <w:r w:rsidR="00260577" w:rsidRPr="00E87A2F">
        <w:rPr>
          <w:lang w:val="es-ES_tradnl"/>
        </w:rPr>
        <w:t>,</w:t>
      </w:r>
      <w:r w:rsidR="00C2396A" w:rsidRPr="00E87A2F">
        <w:rPr>
          <w:lang w:val="es-ES_tradnl"/>
        </w:rPr>
        <w:t xml:space="preserve"> y garantizar </w:t>
      </w:r>
      <w:r w:rsidRPr="00E87A2F">
        <w:rPr>
          <w:lang w:val="es-ES_tradnl"/>
        </w:rPr>
        <w:t>que disponen de la competencia técnica necesaria y que realizan sus tareas de inspección con el rigor necesario</w:t>
      </w:r>
      <w:r w:rsidR="00827210" w:rsidRPr="00E87A2F">
        <w:rPr>
          <w:lang w:val="es-ES_tradnl"/>
        </w:rPr>
        <w:t>,</w:t>
      </w:r>
      <w:r w:rsidRPr="00E87A2F">
        <w:rPr>
          <w:lang w:val="es-ES_tradnl"/>
        </w:rPr>
        <w:t xml:space="preserve"> </w:t>
      </w:r>
      <w:r w:rsidR="00C2396A" w:rsidRPr="00E87A2F">
        <w:rPr>
          <w:lang w:val="es-ES_tradnl"/>
        </w:rPr>
        <w:t xml:space="preserve">la Dirección de Energía </w:t>
      </w:r>
      <w:r w:rsidR="00930016" w:rsidRPr="00E87A2F">
        <w:rPr>
          <w:lang w:val="es-ES_tradnl"/>
        </w:rPr>
        <w:t xml:space="preserve">de la CNMC </w:t>
      </w:r>
      <w:r w:rsidR="00C2396A" w:rsidRPr="00E87A2F">
        <w:rPr>
          <w:lang w:val="es-ES_tradnl"/>
        </w:rPr>
        <w:t>ha solicitad</w:t>
      </w:r>
      <w:r w:rsidR="008D5276" w:rsidRPr="00E87A2F">
        <w:rPr>
          <w:lang w:val="es-ES_tradnl"/>
        </w:rPr>
        <w:t>o</w:t>
      </w:r>
      <w:r w:rsidR="00C2396A" w:rsidRPr="00E87A2F">
        <w:rPr>
          <w:lang w:val="es-ES_tradnl"/>
        </w:rPr>
        <w:t xml:space="preserve"> </w:t>
      </w:r>
      <w:r w:rsidR="00827210" w:rsidRPr="00E87A2F">
        <w:rPr>
          <w:lang w:val="es-ES_tradnl"/>
        </w:rPr>
        <w:t xml:space="preserve">a </w:t>
      </w:r>
      <w:r w:rsidR="00C2396A" w:rsidRPr="00E87A2F">
        <w:rPr>
          <w:lang w:val="es-ES_tradnl"/>
        </w:rPr>
        <w:t xml:space="preserve">ENAC la elaboración de un esquema de acreditación </w:t>
      </w:r>
      <w:r w:rsidR="00C2396A" w:rsidRPr="008F21CE">
        <w:rPr>
          <w:b/>
          <w:lang w:val="es-ES_tradnl"/>
        </w:rPr>
        <w:t xml:space="preserve">para el que deberán acreditarse en su momento todas </w:t>
      </w:r>
      <w:r w:rsidR="00827210" w:rsidRPr="008F21CE">
        <w:rPr>
          <w:b/>
          <w:lang w:val="es-ES_tradnl"/>
        </w:rPr>
        <w:t xml:space="preserve">las </w:t>
      </w:r>
      <w:r w:rsidR="00C2396A" w:rsidRPr="008F21CE">
        <w:rPr>
          <w:b/>
          <w:lang w:val="es-ES_tradnl"/>
        </w:rPr>
        <w:t>entidades que deseen realizar dicha actividad</w:t>
      </w:r>
      <w:r w:rsidR="00C2396A" w:rsidRPr="00E87A2F">
        <w:rPr>
          <w:lang w:val="es-ES_tradnl"/>
        </w:rPr>
        <w:t>.</w:t>
      </w:r>
    </w:p>
    <w:p w:rsidR="00D53732" w:rsidRPr="00E87A2F" w:rsidRDefault="00D53732" w:rsidP="00D53732">
      <w:pPr>
        <w:jc w:val="both"/>
        <w:rPr>
          <w:lang w:val="es-ES_tradnl"/>
        </w:rPr>
      </w:pPr>
    </w:p>
    <w:p w:rsidR="008F21CE" w:rsidRDefault="008F21CE">
      <w:pPr>
        <w:rPr>
          <w:rFonts w:ascii="Calibri" w:hAnsi="Calibri"/>
          <w:b/>
          <w:shd w:val="clear" w:color="auto" w:fill="FFFFFF"/>
        </w:rPr>
      </w:pPr>
    </w:p>
    <w:p w:rsidR="000E4A31" w:rsidRDefault="000E4A31" w:rsidP="000E4A31">
      <w:pPr>
        <w:jc w:val="right"/>
        <w:rPr>
          <w:i/>
        </w:rPr>
      </w:pPr>
      <w:r w:rsidRPr="0043370C">
        <w:rPr>
          <w:i/>
          <w:sz w:val="20"/>
          <w:szCs w:val="20"/>
          <w:vertAlign w:val="superscript"/>
        </w:rPr>
        <w:lastRenderedPageBreak/>
        <w:t xml:space="preserve">(*) </w:t>
      </w:r>
    </w:p>
    <w:p w:rsidR="008F21CE" w:rsidRDefault="008F21CE">
      <w:pPr>
        <w:rPr>
          <w:rFonts w:ascii="Calibri" w:hAnsi="Calibri"/>
          <w:b/>
          <w:shd w:val="clear" w:color="auto" w:fill="FFFFFF"/>
        </w:rPr>
      </w:pPr>
    </w:p>
    <w:p w:rsidR="00163C09" w:rsidRPr="000E4A31" w:rsidRDefault="008F21CE" w:rsidP="000E4A31">
      <w:pPr>
        <w:pStyle w:val="Sinespaciado"/>
        <w:jc w:val="both"/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</w:pPr>
      <w:r w:rsidRPr="000E4A31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 xml:space="preserve">La Cogeneración, un reto industrial </w:t>
      </w:r>
    </w:p>
    <w:p w:rsidR="000E4A31" w:rsidRPr="000E4A31" w:rsidRDefault="000E4A31" w:rsidP="000E4A31">
      <w:pPr>
        <w:pStyle w:val="Sinespaciad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0E4A31" w:rsidRDefault="00163C09" w:rsidP="00EE78E1">
      <w:pPr>
        <w:pStyle w:val="Sinespaciad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0E4A31">
        <w:rPr>
          <w:rFonts w:asciiTheme="minorHAnsi" w:hAnsiTheme="minorHAnsi"/>
          <w:sz w:val="22"/>
          <w:szCs w:val="22"/>
          <w:shd w:val="clear" w:color="auto" w:fill="FFFFFF"/>
        </w:rPr>
        <w:t>El término "cogeneración" se utiliza para definir aquellos procesos en los que se produce conjuntamente energía eléctrica (o mecánica) y energía calorífica útil, a partir de una fuente de energía primaria</w:t>
      </w:r>
      <w:r w:rsidR="000E4A31">
        <w:rPr>
          <w:rFonts w:asciiTheme="minorHAnsi" w:hAnsiTheme="minorHAnsi"/>
          <w:sz w:val="22"/>
          <w:szCs w:val="22"/>
          <w:shd w:val="clear" w:color="auto" w:fill="FFFFFF"/>
        </w:rPr>
        <w:t>. Se trata de</w:t>
      </w:r>
      <w:r w:rsidRPr="000E4A31">
        <w:rPr>
          <w:rFonts w:asciiTheme="minorHAnsi" w:hAnsiTheme="minorHAnsi"/>
          <w:sz w:val="22"/>
          <w:szCs w:val="22"/>
          <w:shd w:val="clear" w:color="auto" w:fill="FFFFFF"/>
        </w:rPr>
        <w:t xml:space="preserve"> una tecnología que supone un incremento de eficiencia energética y un mejor aprovechamiento de los recursos energéticos. Los sistemas de cogeneración son una alternativa a </w:t>
      </w:r>
      <w:r w:rsidR="000E4A31">
        <w:rPr>
          <w:rFonts w:asciiTheme="minorHAnsi" w:hAnsiTheme="minorHAnsi"/>
          <w:sz w:val="22"/>
          <w:szCs w:val="22"/>
          <w:shd w:val="clear" w:color="auto" w:fill="FFFFFF"/>
        </w:rPr>
        <w:t xml:space="preserve">los sistemas tradicionales de obtención de energía eléctrica. </w:t>
      </w:r>
    </w:p>
    <w:p w:rsidR="000E4A31" w:rsidRDefault="000E4A31" w:rsidP="00EE78E1">
      <w:pPr>
        <w:pStyle w:val="Sinespaciad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7B4499" w:rsidRDefault="00163C09" w:rsidP="00EE78E1">
      <w:pPr>
        <w:jc w:val="both"/>
        <w:rPr>
          <w:rFonts w:ascii="Roboto" w:hAnsi="Roboto"/>
          <w:color w:val="333333"/>
          <w:shd w:val="clear" w:color="auto" w:fill="FFFFFF"/>
        </w:rPr>
      </w:pPr>
      <w:r w:rsidRPr="000E4A31">
        <w:rPr>
          <w:rFonts w:cs="Helvetica"/>
          <w:shd w:val="clear" w:color="auto" w:fill="FFFFFF"/>
        </w:rPr>
        <w:t xml:space="preserve">Siguiendo la estela de otros países de la Unión Europea, España </w:t>
      </w:r>
      <w:r w:rsidR="007B4499">
        <w:rPr>
          <w:rFonts w:cs="Helvetica"/>
          <w:shd w:val="clear" w:color="auto" w:fill="FFFFFF"/>
        </w:rPr>
        <w:t>tiene como objetivo</w:t>
      </w:r>
      <w:r w:rsidR="008F21CE" w:rsidRPr="000E4A31">
        <w:rPr>
          <w:rFonts w:cs="Helvetica"/>
          <w:shd w:val="clear" w:color="auto" w:fill="FFFFFF"/>
        </w:rPr>
        <w:t xml:space="preserve"> </w:t>
      </w:r>
      <w:r w:rsidR="007B4499" w:rsidRPr="000E4A31">
        <w:rPr>
          <w:rFonts w:cs="Helvetica"/>
          <w:shd w:val="clear" w:color="auto" w:fill="FFFFFF"/>
        </w:rPr>
        <w:t xml:space="preserve">fomentar la cogeneración de alta eficiencia </w:t>
      </w:r>
      <w:r w:rsidR="008F21CE" w:rsidRPr="000E4A31">
        <w:rPr>
          <w:rFonts w:cs="Helvetica"/>
          <w:shd w:val="clear" w:color="auto" w:fill="FFFFFF"/>
        </w:rPr>
        <w:t>en los próximos años</w:t>
      </w:r>
      <w:r w:rsidRPr="000E4A31">
        <w:rPr>
          <w:rFonts w:cs="Helvetica"/>
          <w:shd w:val="clear" w:color="auto" w:fill="FFFFFF"/>
        </w:rPr>
        <w:t xml:space="preserve">. </w:t>
      </w:r>
      <w:r w:rsidR="00C861EA">
        <w:rPr>
          <w:rFonts w:cs="Helvetica"/>
          <w:shd w:val="clear" w:color="auto" w:fill="FFFFFF"/>
        </w:rPr>
        <w:t>En la actualidad, y s</w:t>
      </w:r>
      <w:r w:rsidR="008F21CE" w:rsidRPr="000E4A31">
        <w:rPr>
          <w:rFonts w:cs="Helvetica"/>
          <w:shd w:val="clear" w:color="auto" w:fill="FFFFFF"/>
        </w:rPr>
        <w:t xml:space="preserve">egún datos de </w:t>
      </w:r>
      <w:r w:rsidR="000E4A31">
        <w:rPr>
          <w:rFonts w:cs="Helvetica"/>
          <w:shd w:val="clear" w:color="auto" w:fill="FFFFFF"/>
        </w:rPr>
        <w:t xml:space="preserve">la </w:t>
      </w:r>
      <w:hyperlink r:id="rId9" w:history="1">
        <w:r w:rsidR="000E4A31" w:rsidRPr="00F75CAF">
          <w:rPr>
            <w:rStyle w:val="Hipervnculo"/>
            <w:rFonts w:cs="Helvetica"/>
            <w:shd w:val="clear" w:color="auto" w:fill="FFFFFF"/>
          </w:rPr>
          <w:t>Asociación Española para la C</w:t>
        </w:r>
        <w:r w:rsidR="008F21CE" w:rsidRPr="00F75CAF">
          <w:rPr>
            <w:rStyle w:val="Hipervnculo"/>
            <w:rFonts w:cs="Helvetica"/>
            <w:shd w:val="clear" w:color="auto" w:fill="FFFFFF"/>
          </w:rPr>
          <w:t>ogeneración</w:t>
        </w:r>
      </w:hyperlink>
      <w:r w:rsidR="00C861EA">
        <w:rPr>
          <w:rFonts w:cs="Helvetica"/>
          <w:shd w:val="clear" w:color="auto" w:fill="FFFFFF"/>
        </w:rPr>
        <w:t>,</w:t>
      </w:r>
      <w:r w:rsidR="008F21CE" w:rsidRPr="000E4A31">
        <w:rPr>
          <w:rFonts w:cs="Helvetica"/>
          <w:shd w:val="clear" w:color="auto" w:fill="FFFFFF"/>
        </w:rPr>
        <w:t xml:space="preserve"> genera casi el 12% de l</w:t>
      </w:r>
      <w:r w:rsidR="007B4499">
        <w:rPr>
          <w:rFonts w:cs="Helvetica"/>
          <w:shd w:val="clear" w:color="auto" w:fill="FFFFFF"/>
        </w:rPr>
        <w:t>a</w:t>
      </w:r>
      <w:r w:rsidR="008F21CE" w:rsidRPr="000E4A31">
        <w:rPr>
          <w:rFonts w:cs="Helvetica"/>
          <w:shd w:val="clear" w:color="auto" w:fill="FFFFFF"/>
        </w:rPr>
        <w:t xml:space="preserve"> electri</w:t>
      </w:r>
      <w:r w:rsidR="000E4A31" w:rsidRPr="000E4A31">
        <w:rPr>
          <w:rFonts w:cs="Helvetica"/>
          <w:shd w:val="clear" w:color="auto" w:fill="FFFFFF"/>
        </w:rPr>
        <w:t>ci</w:t>
      </w:r>
      <w:r w:rsidR="008F21CE" w:rsidRPr="000E4A31">
        <w:rPr>
          <w:rFonts w:cs="Helvetica"/>
          <w:shd w:val="clear" w:color="auto" w:fill="FFFFFF"/>
        </w:rPr>
        <w:t>dad</w:t>
      </w:r>
      <w:r w:rsidR="00C861EA">
        <w:rPr>
          <w:rFonts w:cs="Helvetica"/>
          <w:shd w:val="clear" w:color="auto" w:fill="FFFFFF"/>
        </w:rPr>
        <w:t>.</w:t>
      </w:r>
    </w:p>
    <w:p w:rsidR="00394731" w:rsidRDefault="00394731" w:rsidP="00EE78E1">
      <w:pPr>
        <w:pStyle w:val="Sinespaciad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94731">
        <w:rPr>
          <w:rFonts w:asciiTheme="minorHAnsi" w:hAnsiTheme="minorHAnsi"/>
          <w:b/>
          <w:sz w:val="22"/>
          <w:szCs w:val="22"/>
          <w:u w:val="single"/>
        </w:rPr>
        <w:t xml:space="preserve">Por qué inspección acreditada </w:t>
      </w:r>
    </w:p>
    <w:p w:rsidR="00394731" w:rsidRPr="00394731" w:rsidRDefault="00394731" w:rsidP="00EE78E1">
      <w:pPr>
        <w:pStyle w:val="Sinespaciad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E78E1" w:rsidRDefault="00394731" w:rsidP="00EE78E1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EE78E1">
        <w:rPr>
          <w:rFonts w:asciiTheme="minorHAnsi" w:hAnsiTheme="minorHAnsi"/>
          <w:sz w:val="22"/>
          <w:szCs w:val="22"/>
        </w:rPr>
        <w:t xml:space="preserve">La acreditación </w:t>
      </w:r>
      <w:r w:rsidR="0082257D" w:rsidRPr="00EE78E1">
        <w:rPr>
          <w:rFonts w:asciiTheme="minorHAnsi" w:hAnsiTheme="minorHAnsi"/>
          <w:sz w:val="22"/>
          <w:szCs w:val="22"/>
        </w:rPr>
        <w:t>es el mecanismo</w:t>
      </w:r>
      <w:r w:rsidRPr="00EE78E1">
        <w:rPr>
          <w:rFonts w:asciiTheme="minorHAnsi" w:hAnsiTheme="minorHAnsi"/>
          <w:sz w:val="22"/>
          <w:szCs w:val="22"/>
        </w:rPr>
        <w:t xml:space="preserve"> internacionalmente aceptad</w:t>
      </w:r>
      <w:r w:rsidR="0082257D" w:rsidRPr="00EE78E1">
        <w:rPr>
          <w:rFonts w:asciiTheme="minorHAnsi" w:hAnsiTheme="minorHAnsi"/>
          <w:sz w:val="22"/>
          <w:szCs w:val="22"/>
        </w:rPr>
        <w:t>o</w:t>
      </w:r>
      <w:r w:rsidRPr="00EE78E1">
        <w:rPr>
          <w:rFonts w:asciiTheme="minorHAnsi" w:hAnsiTheme="minorHAnsi"/>
          <w:sz w:val="22"/>
          <w:szCs w:val="22"/>
        </w:rPr>
        <w:t xml:space="preserve"> para determinar </w:t>
      </w:r>
      <w:r w:rsidR="000E613D" w:rsidRPr="00EE78E1">
        <w:rPr>
          <w:rFonts w:asciiTheme="minorHAnsi" w:hAnsiTheme="minorHAnsi"/>
          <w:sz w:val="22"/>
          <w:szCs w:val="22"/>
        </w:rPr>
        <w:t xml:space="preserve">la </w:t>
      </w:r>
      <w:r w:rsidRPr="00EE78E1">
        <w:rPr>
          <w:rFonts w:asciiTheme="minorHAnsi" w:hAnsiTheme="minorHAnsi"/>
          <w:sz w:val="22"/>
          <w:szCs w:val="22"/>
        </w:rPr>
        <w:t xml:space="preserve">competencia técnica </w:t>
      </w:r>
      <w:r w:rsidR="000E613D" w:rsidRPr="00EE78E1">
        <w:rPr>
          <w:rFonts w:asciiTheme="minorHAnsi" w:hAnsiTheme="minorHAnsi"/>
          <w:sz w:val="22"/>
          <w:szCs w:val="22"/>
        </w:rPr>
        <w:t xml:space="preserve">de evaluadores como </w:t>
      </w:r>
      <w:r w:rsidR="00CF1FB4" w:rsidRPr="00EE78E1">
        <w:rPr>
          <w:rFonts w:asciiTheme="minorHAnsi" w:hAnsiTheme="minorHAnsi"/>
          <w:sz w:val="22"/>
          <w:szCs w:val="22"/>
        </w:rPr>
        <w:t>son las entidades de inspección.</w:t>
      </w:r>
      <w:r w:rsidR="000E613D" w:rsidRPr="00EE78E1">
        <w:rPr>
          <w:rFonts w:asciiTheme="minorHAnsi" w:hAnsiTheme="minorHAnsi"/>
          <w:sz w:val="22"/>
          <w:szCs w:val="22"/>
        </w:rPr>
        <w:t xml:space="preserve"> </w:t>
      </w:r>
      <w:r w:rsidR="00CF1FB4" w:rsidRPr="00EE78E1">
        <w:rPr>
          <w:rFonts w:asciiTheme="minorHAnsi" w:hAnsiTheme="minorHAnsi"/>
          <w:sz w:val="22"/>
          <w:szCs w:val="22"/>
        </w:rPr>
        <w:t xml:space="preserve">Por eso, </w:t>
      </w:r>
      <w:r w:rsidR="00CF1FB4" w:rsidRPr="00EE78E1">
        <w:rPr>
          <w:rFonts w:asciiTheme="minorHAnsi" w:hAnsiTheme="minorHAnsi"/>
          <w:b/>
          <w:bCs/>
          <w:sz w:val="22"/>
          <w:szCs w:val="22"/>
        </w:rPr>
        <w:t>cuando una empresa</w:t>
      </w:r>
      <w:r w:rsidR="000360DE" w:rsidRPr="00EE78E1">
        <w:rPr>
          <w:rFonts w:asciiTheme="minorHAnsi" w:hAnsiTheme="minorHAnsi"/>
          <w:b/>
          <w:bCs/>
          <w:sz w:val="22"/>
          <w:szCs w:val="22"/>
        </w:rPr>
        <w:t xml:space="preserve"> o </w:t>
      </w:r>
      <w:r w:rsidR="00CF1FB4" w:rsidRPr="00EE78E1">
        <w:rPr>
          <w:rFonts w:asciiTheme="minorHAnsi" w:hAnsiTheme="minorHAnsi"/>
          <w:b/>
          <w:bCs/>
          <w:sz w:val="22"/>
          <w:szCs w:val="22"/>
        </w:rPr>
        <w:t>l</w:t>
      </w:r>
      <w:r w:rsidR="000360DE" w:rsidRPr="00EE78E1">
        <w:rPr>
          <w:rFonts w:asciiTheme="minorHAnsi" w:hAnsiTheme="minorHAnsi"/>
          <w:b/>
          <w:bCs/>
          <w:sz w:val="22"/>
          <w:szCs w:val="22"/>
        </w:rPr>
        <w:t>a A</w:t>
      </w:r>
      <w:r w:rsidR="00CF1FB4" w:rsidRPr="00EE78E1">
        <w:rPr>
          <w:rFonts w:asciiTheme="minorHAnsi" w:hAnsiTheme="minorHAnsi"/>
          <w:b/>
          <w:bCs/>
          <w:sz w:val="22"/>
          <w:szCs w:val="22"/>
        </w:rPr>
        <w:t>dministración</w:t>
      </w:r>
      <w:r w:rsidR="000360DE" w:rsidRPr="00EE78E1">
        <w:rPr>
          <w:rFonts w:asciiTheme="minorHAnsi" w:hAnsiTheme="minorHAnsi"/>
          <w:b/>
          <w:bCs/>
          <w:sz w:val="22"/>
          <w:szCs w:val="22"/>
        </w:rPr>
        <w:t xml:space="preserve"> Pública</w:t>
      </w:r>
      <w:r w:rsidR="00CF1FB4" w:rsidRPr="00EE78E1">
        <w:rPr>
          <w:rFonts w:asciiTheme="minorHAnsi" w:hAnsiTheme="minorHAnsi"/>
          <w:b/>
          <w:bCs/>
          <w:sz w:val="22"/>
          <w:szCs w:val="22"/>
        </w:rPr>
        <w:t xml:space="preserve"> se plantea contratar servicios de evaluación como pueden ser ensayo, certificación</w:t>
      </w:r>
      <w:r w:rsidR="00CF1FB4" w:rsidRPr="00EE78E1">
        <w:rPr>
          <w:rFonts w:asciiTheme="minorHAnsi" w:hAnsiTheme="minorHAnsi"/>
          <w:sz w:val="22"/>
          <w:szCs w:val="22"/>
        </w:rPr>
        <w:t xml:space="preserve"> </w:t>
      </w:r>
      <w:r w:rsidR="00CF1FB4" w:rsidRPr="00EE78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 inspección</w:t>
      </w:r>
      <w:r w:rsidR="00CF1FB4" w:rsidRPr="00EE78E1">
        <w:rPr>
          <w:rFonts w:asciiTheme="minorHAnsi" w:hAnsiTheme="minorHAnsi"/>
          <w:sz w:val="22"/>
          <w:szCs w:val="22"/>
        </w:rPr>
        <w:t xml:space="preserve">, si quiere contar con las máximas garantías de competencia técnica </w:t>
      </w:r>
      <w:r w:rsidR="00CF1FB4" w:rsidRPr="00EE78E1">
        <w:rPr>
          <w:rFonts w:asciiTheme="minorHAnsi" w:hAnsiTheme="minorHAnsi"/>
          <w:b/>
          <w:bCs/>
          <w:sz w:val="22"/>
          <w:szCs w:val="22"/>
        </w:rPr>
        <w:t>sin correr riesgos</w:t>
      </w:r>
      <w:r w:rsidR="00CF1FB4" w:rsidRPr="00EE78E1">
        <w:rPr>
          <w:rFonts w:asciiTheme="minorHAnsi" w:hAnsiTheme="minorHAnsi"/>
          <w:sz w:val="22"/>
          <w:szCs w:val="22"/>
        </w:rPr>
        <w:t xml:space="preserve">, debe </w:t>
      </w:r>
      <w:r w:rsidR="00CF1FB4" w:rsidRPr="00EE78E1">
        <w:rPr>
          <w:rFonts w:asciiTheme="minorHAnsi" w:hAnsiTheme="minorHAnsi"/>
          <w:b/>
          <w:bCs/>
          <w:sz w:val="22"/>
          <w:szCs w:val="22"/>
        </w:rPr>
        <w:t xml:space="preserve">optar por entidades acreditadas por ENAC </w:t>
      </w:r>
      <w:r w:rsidR="00CF1FB4" w:rsidRPr="00EE78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según normas internacionales</w:t>
      </w:r>
      <w:r w:rsidR="00CF1FB4" w:rsidRPr="00EE78E1">
        <w:rPr>
          <w:rFonts w:asciiTheme="minorHAnsi" w:hAnsiTheme="minorHAnsi"/>
          <w:b/>
          <w:bCs/>
          <w:sz w:val="22"/>
          <w:szCs w:val="22"/>
        </w:rPr>
        <w:t>,</w:t>
      </w:r>
      <w:r w:rsidR="00CF1FB4" w:rsidRPr="00EE78E1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 </w:t>
      </w:r>
      <w:r w:rsidR="00CF1FB4" w:rsidRPr="00EE78E1">
        <w:rPr>
          <w:rFonts w:asciiTheme="minorHAnsi" w:hAnsiTheme="minorHAnsi"/>
          <w:sz w:val="22"/>
          <w:szCs w:val="22"/>
        </w:rPr>
        <w:t xml:space="preserve">porque sólo estas han demostrado disponer de la necesaria solvencia técnica proporcionando la confianza </w:t>
      </w:r>
      <w:r w:rsidR="00EE78E1" w:rsidRPr="00EE78E1">
        <w:rPr>
          <w:rFonts w:asciiTheme="minorHAnsi" w:hAnsiTheme="minorHAnsi"/>
          <w:sz w:val="22"/>
          <w:szCs w:val="22"/>
        </w:rPr>
        <w:t>q</w:t>
      </w:r>
      <w:r w:rsidR="00CF1FB4" w:rsidRPr="00EE78E1">
        <w:rPr>
          <w:rFonts w:asciiTheme="minorHAnsi" w:hAnsiTheme="minorHAnsi"/>
          <w:sz w:val="22"/>
          <w:szCs w:val="22"/>
        </w:rPr>
        <w:t>ue demandan los clientes así como su acepta</w:t>
      </w:r>
      <w:r w:rsidR="00EE78E1" w:rsidRPr="00EE78E1">
        <w:rPr>
          <w:rFonts w:asciiTheme="minorHAnsi" w:hAnsiTheme="minorHAnsi"/>
          <w:sz w:val="22"/>
          <w:szCs w:val="22"/>
        </w:rPr>
        <w:t xml:space="preserve">ción en el </w:t>
      </w:r>
      <w:r w:rsidR="00EE78E1">
        <w:rPr>
          <w:rFonts w:asciiTheme="minorHAnsi" w:hAnsiTheme="minorHAnsi"/>
          <w:sz w:val="22"/>
          <w:szCs w:val="22"/>
        </w:rPr>
        <w:t xml:space="preserve">mercado internacional. </w:t>
      </w:r>
    </w:p>
    <w:p w:rsidR="00EE78E1" w:rsidRDefault="00EE78E1" w:rsidP="009C2360">
      <w:pPr>
        <w:jc w:val="both"/>
        <w:rPr>
          <w:b/>
          <w:u w:val="single"/>
        </w:rPr>
      </w:pPr>
    </w:p>
    <w:p w:rsidR="009C2360" w:rsidRPr="006C22E2" w:rsidRDefault="009C2360" w:rsidP="009C2360">
      <w:pPr>
        <w:jc w:val="both"/>
        <w:rPr>
          <w:b/>
          <w:u w:val="single"/>
        </w:rPr>
      </w:pPr>
      <w:r w:rsidRPr="006C22E2">
        <w:rPr>
          <w:b/>
          <w:u w:val="single"/>
        </w:rPr>
        <w:t>Sobre ENAC</w:t>
      </w:r>
    </w:p>
    <w:p w:rsidR="009C2360" w:rsidRPr="006C22E2" w:rsidRDefault="009C2360" w:rsidP="009C2360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>La Entidad Nacional de Acreditación – ENAC – es la entidad  designada por el Gobierno para operar en España como el único Organismo Nacional de Acreditación, en aplicación del Reglamento (CE) nº 765/2008 del Parlamento Europeo que regula el funcionamiento de la acreditación en Europa.</w:t>
      </w:r>
    </w:p>
    <w:p w:rsidR="009C2360" w:rsidRPr="006C22E2" w:rsidRDefault="009C2360" w:rsidP="009C2360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color w:val="1F497D"/>
          <w:sz w:val="22"/>
          <w:szCs w:val="22"/>
        </w:rPr>
        <w:t> </w:t>
      </w:r>
    </w:p>
    <w:p w:rsidR="009C2360" w:rsidRPr="006C22E2" w:rsidRDefault="009C2360" w:rsidP="009C2360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 xml:space="preserve"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</w:t>
      </w:r>
      <w:r w:rsidR="00C075A5">
        <w:rPr>
          <w:rFonts w:asciiTheme="minorHAnsi" w:hAnsiTheme="minorHAnsi" w:cs="Arial"/>
          <w:sz w:val="22"/>
          <w:szCs w:val="22"/>
        </w:rPr>
        <w:t>i</w:t>
      </w:r>
      <w:r w:rsidRPr="006C22E2">
        <w:rPr>
          <w:rFonts w:asciiTheme="minorHAnsi" w:hAnsiTheme="minorHAnsi" w:cs="Arial"/>
          <w:sz w:val="22"/>
          <w:szCs w:val="22"/>
        </w:rPr>
        <w:t xml:space="preserve">ndustria,  </w:t>
      </w:r>
      <w:r w:rsidR="00C075A5">
        <w:rPr>
          <w:rFonts w:asciiTheme="minorHAnsi" w:hAnsiTheme="minorHAnsi" w:cs="Arial"/>
          <w:sz w:val="22"/>
          <w:szCs w:val="22"/>
        </w:rPr>
        <w:t>e</w:t>
      </w:r>
      <w:r w:rsidRPr="006C22E2">
        <w:rPr>
          <w:rFonts w:asciiTheme="minorHAnsi" w:hAnsiTheme="minorHAnsi" w:cs="Arial"/>
          <w:sz w:val="22"/>
          <w:szCs w:val="22"/>
        </w:rPr>
        <w:t xml:space="preserve">nergía, </w:t>
      </w:r>
      <w:r w:rsidR="00C075A5">
        <w:rPr>
          <w:rFonts w:asciiTheme="minorHAnsi" w:hAnsiTheme="minorHAnsi" w:cs="Arial"/>
          <w:sz w:val="22"/>
          <w:szCs w:val="22"/>
        </w:rPr>
        <w:t>m</w:t>
      </w:r>
      <w:r w:rsidRPr="006C22E2">
        <w:rPr>
          <w:rFonts w:asciiTheme="minorHAnsi" w:hAnsiTheme="minorHAnsi" w:cs="Arial"/>
          <w:sz w:val="22"/>
          <w:szCs w:val="22"/>
        </w:rPr>
        <w:t xml:space="preserve">edio </w:t>
      </w:r>
      <w:r w:rsidR="00C075A5">
        <w:rPr>
          <w:rFonts w:asciiTheme="minorHAnsi" w:hAnsiTheme="minorHAnsi" w:cs="Arial"/>
          <w:sz w:val="22"/>
          <w:szCs w:val="22"/>
        </w:rPr>
        <w:t>a</w:t>
      </w:r>
      <w:r w:rsidRPr="006C22E2">
        <w:rPr>
          <w:rFonts w:asciiTheme="minorHAnsi" w:hAnsiTheme="minorHAnsi" w:cs="Arial"/>
          <w:sz w:val="22"/>
          <w:szCs w:val="22"/>
        </w:rPr>
        <w:t xml:space="preserve">mbiente, </w:t>
      </w:r>
      <w:r w:rsidR="00C075A5">
        <w:rPr>
          <w:rFonts w:asciiTheme="minorHAnsi" w:hAnsiTheme="minorHAnsi" w:cs="Arial"/>
          <w:sz w:val="22"/>
          <w:szCs w:val="22"/>
        </w:rPr>
        <w:t>s</w:t>
      </w:r>
      <w:r w:rsidRPr="006C22E2">
        <w:rPr>
          <w:rFonts w:asciiTheme="minorHAnsi" w:hAnsiTheme="minorHAnsi" w:cs="Arial"/>
          <w:sz w:val="22"/>
          <w:szCs w:val="22"/>
        </w:rPr>
        <w:t xml:space="preserve">anidad, </w:t>
      </w:r>
      <w:r w:rsidR="00C075A5">
        <w:rPr>
          <w:rFonts w:asciiTheme="minorHAnsi" w:hAnsiTheme="minorHAnsi" w:cs="Arial"/>
          <w:sz w:val="22"/>
          <w:szCs w:val="22"/>
        </w:rPr>
        <w:t>a</w:t>
      </w:r>
      <w:r w:rsidRPr="006C22E2">
        <w:rPr>
          <w:rFonts w:asciiTheme="minorHAnsi" w:hAnsiTheme="minorHAnsi" w:cs="Arial"/>
          <w:sz w:val="22"/>
          <w:szCs w:val="22"/>
        </w:rPr>
        <w:t xml:space="preserve">limentación, </w:t>
      </w:r>
      <w:r w:rsidR="00C075A5">
        <w:rPr>
          <w:rFonts w:asciiTheme="minorHAnsi" w:hAnsiTheme="minorHAnsi" w:cs="Arial"/>
          <w:sz w:val="22"/>
          <w:szCs w:val="22"/>
        </w:rPr>
        <w:t>i</w:t>
      </w:r>
      <w:r w:rsidRPr="006C22E2">
        <w:rPr>
          <w:rFonts w:asciiTheme="minorHAnsi" w:hAnsiTheme="minorHAnsi" w:cs="Arial"/>
          <w:sz w:val="22"/>
          <w:szCs w:val="22"/>
        </w:rPr>
        <w:t xml:space="preserve">nvestigación, </w:t>
      </w:r>
      <w:r w:rsidR="00C075A5">
        <w:rPr>
          <w:rFonts w:asciiTheme="minorHAnsi" w:hAnsiTheme="minorHAnsi" w:cs="Arial"/>
          <w:sz w:val="22"/>
          <w:szCs w:val="22"/>
        </w:rPr>
        <w:t>d</w:t>
      </w:r>
      <w:r w:rsidRPr="006C22E2">
        <w:rPr>
          <w:rFonts w:asciiTheme="minorHAnsi" w:hAnsiTheme="minorHAnsi" w:cs="Arial"/>
          <w:sz w:val="22"/>
          <w:szCs w:val="22"/>
        </w:rPr>
        <w:t xml:space="preserve">esarrollo e </w:t>
      </w:r>
      <w:r w:rsidR="00C075A5">
        <w:rPr>
          <w:rFonts w:asciiTheme="minorHAnsi" w:hAnsiTheme="minorHAnsi" w:cs="Arial"/>
          <w:sz w:val="22"/>
          <w:szCs w:val="22"/>
        </w:rPr>
        <w:t>i</w:t>
      </w:r>
      <w:r w:rsidRPr="006C22E2">
        <w:rPr>
          <w:rFonts w:asciiTheme="minorHAnsi" w:hAnsiTheme="minorHAnsi" w:cs="Arial"/>
          <w:sz w:val="22"/>
          <w:szCs w:val="22"/>
        </w:rPr>
        <w:t xml:space="preserve">nnovación, </w:t>
      </w:r>
      <w:r w:rsidR="00C075A5">
        <w:rPr>
          <w:rFonts w:asciiTheme="minorHAnsi" w:hAnsiTheme="minorHAnsi" w:cs="Arial"/>
          <w:sz w:val="22"/>
          <w:szCs w:val="22"/>
        </w:rPr>
        <w:t>t</w:t>
      </w:r>
      <w:r w:rsidRPr="006C22E2">
        <w:rPr>
          <w:rFonts w:asciiTheme="minorHAnsi" w:hAnsiTheme="minorHAnsi" w:cs="Arial"/>
          <w:sz w:val="22"/>
          <w:szCs w:val="22"/>
        </w:rPr>
        <w:t xml:space="preserve">ransportes, </w:t>
      </w:r>
      <w:r w:rsidR="00C075A5">
        <w:rPr>
          <w:rFonts w:asciiTheme="minorHAnsi" w:hAnsiTheme="minorHAnsi" w:cs="Arial"/>
          <w:sz w:val="22"/>
          <w:szCs w:val="22"/>
        </w:rPr>
        <w:t>t</w:t>
      </w:r>
      <w:r w:rsidRPr="006C22E2">
        <w:rPr>
          <w:rFonts w:asciiTheme="minorHAnsi" w:hAnsiTheme="minorHAnsi" w:cs="Arial"/>
          <w:sz w:val="22"/>
          <w:szCs w:val="22"/>
        </w:rPr>
        <w:t xml:space="preserve">elecomunicaciones, </w:t>
      </w:r>
      <w:r w:rsidR="00C075A5">
        <w:rPr>
          <w:rFonts w:asciiTheme="minorHAnsi" w:hAnsiTheme="minorHAnsi" w:cs="Arial"/>
          <w:sz w:val="22"/>
          <w:szCs w:val="22"/>
        </w:rPr>
        <w:t>t</w:t>
      </w:r>
      <w:r w:rsidRPr="006C22E2">
        <w:rPr>
          <w:rFonts w:asciiTheme="minorHAnsi" w:hAnsiTheme="minorHAnsi" w:cs="Arial"/>
          <w:sz w:val="22"/>
          <w:szCs w:val="22"/>
        </w:rPr>
        <w:t xml:space="preserve">urismo, </w:t>
      </w:r>
      <w:r w:rsidR="00C075A5">
        <w:rPr>
          <w:rFonts w:asciiTheme="minorHAnsi" w:hAnsiTheme="minorHAnsi" w:cs="Arial"/>
          <w:sz w:val="22"/>
          <w:szCs w:val="22"/>
        </w:rPr>
        <w:t>s</w:t>
      </w:r>
      <w:r w:rsidRPr="006C22E2">
        <w:rPr>
          <w:rFonts w:asciiTheme="minorHAnsi" w:hAnsiTheme="minorHAnsi" w:cs="Arial"/>
          <w:sz w:val="22"/>
          <w:szCs w:val="22"/>
        </w:rPr>
        <w:t xml:space="preserve">ervicios, </w:t>
      </w:r>
      <w:r w:rsidR="00C075A5">
        <w:rPr>
          <w:rFonts w:asciiTheme="minorHAnsi" w:hAnsiTheme="minorHAnsi" w:cs="Arial"/>
          <w:sz w:val="22"/>
          <w:szCs w:val="22"/>
        </w:rPr>
        <w:t>c</w:t>
      </w:r>
      <w:r w:rsidRPr="006C22E2">
        <w:rPr>
          <w:rFonts w:asciiTheme="minorHAnsi" w:hAnsiTheme="minorHAnsi" w:cs="Arial"/>
          <w:sz w:val="22"/>
          <w:szCs w:val="22"/>
        </w:rPr>
        <w:t>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:rsidR="009C2360" w:rsidRPr="006C22E2" w:rsidRDefault="009C2360" w:rsidP="009C2360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  <w:r w:rsidRPr="006C22E2">
        <w:rPr>
          <w:rFonts w:asciiTheme="minorHAnsi" w:hAnsiTheme="minorHAnsi" w:cs="Arial"/>
          <w:sz w:val="22"/>
          <w:szCs w:val="22"/>
        </w:rPr>
        <w:t> </w:t>
      </w:r>
    </w:p>
    <w:p w:rsidR="009C2360" w:rsidRDefault="009C2360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 xml:space="preserve">La marca ENAC es la manera de distinguir si un certificado o informe está acreditado o no. Es la garantía de que la organización que lo emite es técnicamente competente para llevar a cabo la tarea que realiza, y lo es tanto en España como en los </w:t>
      </w:r>
      <w:r>
        <w:rPr>
          <w:rFonts w:asciiTheme="minorHAnsi" w:hAnsiTheme="minorHAnsi"/>
          <w:sz w:val="22"/>
          <w:szCs w:val="22"/>
        </w:rPr>
        <w:t>100</w:t>
      </w:r>
      <w:r w:rsidRPr="006C22E2">
        <w:rPr>
          <w:rFonts w:asciiTheme="minorHAnsi" w:hAnsiTheme="minorHAnsi"/>
          <w:sz w:val="22"/>
          <w:szCs w:val="22"/>
        </w:rPr>
        <w:t xml:space="preserve"> países en los que la marca de ENAC es reconocida y aceptada gracias a los acuerdos de reconocimiento que ENAC ha suscrito con las entidades de acreditación de esos países.</w:t>
      </w:r>
    </w:p>
    <w:p w:rsidR="00270C82" w:rsidRDefault="00270C82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:rsidR="00270C82" w:rsidRPr="006C22E2" w:rsidRDefault="00270C82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:rsidR="009C2360" w:rsidRPr="006C22E2" w:rsidRDefault="009C2360" w:rsidP="009C2360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9C2360" w:rsidRPr="006C22E2" w:rsidRDefault="00AE0D28" w:rsidP="009C2360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hyperlink r:id="rId10" w:history="1">
        <w:r w:rsidR="009C2360" w:rsidRPr="006C22E2">
          <w:rPr>
            <w:rStyle w:val="Hipervnculo"/>
            <w:rFonts w:asciiTheme="minorHAnsi" w:hAnsiTheme="minorHAnsi"/>
            <w:sz w:val="22"/>
            <w:szCs w:val="22"/>
          </w:rPr>
          <w:t>www.enac.es</w:t>
        </w:r>
      </w:hyperlink>
      <w:r w:rsidR="009C2360" w:rsidRPr="006C22E2">
        <w:rPr>
          <w:rFonts w:asciiTheme="minorHAnsi" w:hAnsiTheme="minorHAnsi"/>
          <w:sz w:val="22"/>
          <w:szCs w:val="22"/>
        </w:rPr>
        <w:t xml:space="preserve"> </w:t>
      </w:r>
    </w:p>
    <w:p w:rsidR="009C2360" w:rsidRPr="006C22E2" w:rsidRDefault="009C2360" w:rsidP="009C2360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19021BE" wp14:editId="416B7ACC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6985" b="6985"/>
            <wp:wrapTight wrapText="bothSides">
              <wp:wrapPolygon edited="0">
                <wp:start x="0" y="0"/>
                <wp:lineTo x="0" y="18567"/>
                <wp:lineTo x="1857" y="20424"/>
                <wp:lineTo x="18567" y="20424"/>
                <wp:lineTo x="20424" y="18567"/>
                <wp:lineTo x="20424" y="0"/>
                <wp:lineTo x="0" y="0"/>
              </wp:wrapPolygon>
            </wp:wrapTight>
            <wp:docPr id="3" name="Imagen 3" descr="Resultado de imagen de icono linkedi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cono linkedi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2E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352B8DA" wp14:editId="278A6DBF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221615" cy="181610"/>
            <wp:effectExtent l="0" t="0" r="6985" b="8890"/>
            <wp:wrapTight wrapText="bothSides">
              <wp:wrapPolygon edited="0">
                <wp:start x="0" y="0"/>
                <wp:lineTo x="0" y="20392"/>
                <wp:lineTo x="16711" y="20392"/>
                <wp:lineTo x="20424" y="9063"/>
                <wp:lineTo x="20424" y="0"/>
                <wp:lineTo x="0" y="0"/>
              </wp:wrapPolygon>
            </wp:wrapTight>
            <wp:docPr id="2" name="Imagen 2" descr="Resultado de imagen de icono twitt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cono twitt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360" w:rsidRPr="006C22E2" w:rsidRDefault="009C2360" w:rsidP="009C2360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9C2360" w:rsidRPr="006C22E2" w:rsidRDefault="009C2360" w:rsidP="009C2360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9C2360" w:rsidRPr="006C22E2" w:rsidRDefault="009C2360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:rsidR="009C2360" w:rsidRDefault="009C2360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:rsidR="009C2360" w:rsidRPr="006C22E2" w:rsidRDefault="009C2360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>Para más información sobre la nota de prensa, resolver dudas o gestionar entrevistas</w:t>
      </w:r>
    </w:p>
    <w:p w:rsidR="009C2360" w:rsidRPr="006C22E2" w:rsidRDefault="009C2360" w:rsidP="009C2360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>Eva Martín</w:t>
      </w:r>
    </w:p>
    <w:p w:rsidR="009C2360" w:rsidRPr="0043370C" w:rsidRDefault="009C2360" w:rsidP="009C2360">
      <w:pPr>
        <w:pStyle w:val="Sinespaciado"/>
        <w:jc w:val="both"/>
        <w:rPr>
          <w:i/>
          <w:color w:val="FF0000"/>
          <w:sz w:val="22"/>
          <w:szCs w:val="22"/>
        </w:rPr>
      </w:pPr>
      <w:r w:rsidRPr="006C22E2">
        <w:rPr>
          <w:rFonts w:asciiTheme="minorHAnsi" w:hAnsiTheme="minorHAnsi"/>
          <w:sz w:val="22"/>
          <w:szCs w:val="22"/>
        </w:rPr>
        <w:t xml:space="preserve">Tfno. 628 17 49 01 /  </w:t>
      </w:r>
      <w:hyperlink r:id="rId17" w:history="1">
        <w:r w:rsidRPr="006C22E2">
          <w:rPr>
            <w:rStyle w:val="Hipervnculo"/>
            <w:rFonts w:asciiTheme="minorHAnsi" w:hAnsiTheme="minorHAnsi"/>
            <w:sz w:val="22"/>
            <w:szCs w:val="22"/>
          </w:rPr>
          <w:t>evamc@varenga.es</w:t>
        </w:r>
      </w:hyperlink>
    </w:p>
    <w:sectPr w:rsidR="009C2360" w:rsidRPr="0043370C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28" w:rsidRDefault="00AE0D28" w:rsidP="009C2360">
      <w:pPr>
        <w:spacing w:after="0" w:line="240" w:lineRule="auto"/>
      </w:pPr>
      <w:r>
        <w:separator/>
      </w:r>
    </w:p>
  </w:endnote>
  <w:endnote w:type="continuationSeparator" w:id="0">
    <w:p w:rsidR="00AE0D28" w:rsidRDefault="00AE0D28" w:rsidP="009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28" w:rsidRDefault="00AE0D28" w:rsidP="009C2360">
      <w:pPr>
        <w:spacing w:after="0" w:line="240" w:lineRule="auto"/>
      </w:pPr>
      <w:r>
        <w:separator/>
      </w:r>
    </w:p>
  </w:footnote>
  <w:footnote w:type="continuationSeparator" w:id="0">
    <w:p w:rsidR="00AE0D28" w:rsidRDefault="00AE0D28" w:rsidP="009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3D" w:rsidRPr="004F59CA" w:rsidRDefault="000E613D" w:rsidP="009C2360">
    <w:pPr>
      <w:pStyle w:val="Encabezado"/>
      <w:rPr>
        <w:b/>
        <w:sz w:val="40"/>
        <w:szCs w:val="40"/>
      </w:rPr>
    </w:pPr>
    <w:r w:rsidRPr="004F59CA">
      <w:rPr>
        <w:b/>
        <w:noProof/>
        <w:sz w:val="40"/>
        <w:szCs w:val="40"/>
        <w:lang w:eastAsia="es-ES"/>
      </w:rPr>
      <w:drawing>
        <wp:anchor distT="0" distB="0" distL="114300" distR="114300" simplePos="0" relativeHeight="251659264" behindDoc="0" locked="0" layoutInCell="1" allowOverlap="1" wp14:anchorId="094860E7" wp14:editId="38BA433A">
          <wp:simplePos x="0" y="0"/>
          <wp:positionH relativeFrom="column">
            <wp:posOffset>4271010</wp:posOffset>
          </wp:positionH>
          <wp:positionV relativeFrom="paragraph">
            <wp:posOffset>-292735</wp:posOffset>
          </wp:positionV>
          <wp:extent cx="1324610" cy="733425"/>
          <wp:effectExtent l="0" t="0" r="8890" b="9525"/>
          <wp:wrapTight wrapText="bothSides">
            <wp:wrapPolygon edited="0">
              <wp:start x="9319" y="0"/>
              <wp:lineTo x="6834" y="2244"/>
              <wp:lineTo x="621" y="8416"/>
              <wp:lineTo x="0" y="18514"/>
              <wp:lineTo x="0" y="21319"/>
              <wp:lineTo x="21434" y="21319"/>
              <wp:lineTo x="21434" y="18514"/>
              <wp:lineTo x="21124" y="8416"/>
              <wp:lineTo x="16775" y="4488"/>
              <wp:lineTo x="11494" y="0"/>
              <wp:lineTo x="9319" y="0"/>
            </wp:wrapPolygon>
          </wp:wrapTight>
          <wp:docPr id="1" name="Imagen 1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9CA">
      <w:rPr>
        <w:b/>
        <w:sz w:val="40"/>
        <w:szCs w:val="40"/>
      </w:rPr>
      <w:t>NOTA DE PRENSA</w:t>
    </w:r>
  </w:p>
  <w:p w:rsidR="000E613D" w:rsidRDefault="000E61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27C4"/>
    <w:multiLevelType w:val="hybridMultilevel"/>
    <w:tmpl w:val="96F84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eza Sanz, Francisco José">
    <w15:presenceInfo w15:providerId="AD" w15:userId="S-1-5-21-3432830275-2768717626-2736133141-7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5A"/>
    <w:rsid w:val="000360DE"/>
    <w:rsid w:val="00076EAF"/>
    <w:rsid w:val="00083EFE"/>
    <w:rsid w:val="000B2688"/>
    <w:rsid w:val="000E4A31"/>
    <w:rsid w:val="000E613D"/>
    <w:rsid w:val="00117AF7"/>
    <w:rsid w:val="00163C09"/>
    <w:rsid w:val="001C4F2A"/>
    <w:rsid w:val="00260577"/>
    <w:rsid w:val="00270C82"/>
    <w:rsid w:val="002A357B"/>
    <w:rsid w:val="0030334E"/>
    <w:rsid w:val="003757E3"/>
    <w:rsid w:val="00394731"/>
    <w:rsid w:val="0039594D"/>
    <w:rsid w:val="00396577"/>
    <w:rsid w:val="003F0127"/>
    <w:rsid w:val="00406200"/>
    <w:rsid w:val="0043370C"/>
    <w:rsid w:val="00475D51"/>
    <w:rsid w:val="00495A04"/>
    <w:rsid w:val="004B4F2D"/>
    <w:rsid w:val="004F4B2D"/>
    <w:rsid w:val="00587B25"/>
    <w:rsid w:val="005C7A52"/>
    <w:rsid w:val="006B0772"/>
    <w:rsid w:val="00776437"/>
    <w:rsid w:val="007B4499"/>
    <w:rsid w:val="007C785A"/>
    <w:rsid w:val="007F1519"/>
    <w:rsid w:val="0080084A"/>
    <w:rsid w:val="0082257D"/>
    <w:rsid w:val="00827210"/>
    <w:rsid w:val="008C6EE0"/>
    <w:rsid w:val="008D5276"/>
    <w:rsid w:val="008E10E8"/>
    <w:rsid w:val="008F21CE"/>
    <w:rsid w:val="0092492A"/>
    <w:rsid w:val="00930016"/>
    <w:rsid w:val="009B2784"/>
    <w:rsid w:val="009C2360"/>
    <w:rsid w:val="00AE0D28"/>
    <w:rsid w:val="00AF7A91"/>
    <w:rsid w:val="00B0632E"/>
    <w:rsid w:val="00B14976"/>
    <w:rsid w:val="00B358E2"/>
    <w:rsid w:val="00B66E91"/>
    <w:rsid w:val="00BC56C2"/>
    <w:rsid w:val="00C075A5"/>
    <w:rsid w:val="00C22F12"/>
    <w:rsid w:val="00C2396A"/>
    <w:rsid w:val="00C45EE2"/>
    <w:rsid w:val="00C861EA"/>
    <w:rsid w:val="00C90B35"/>
    <w:rsid w:val="00CA5EB3"/>
    <w:rsid w:val="00CA7E89"/>
    <w:rsid w:val="00CF1FB4"/>
    <w:rsid w:val="00D16874"/>
    <w:rsid w:val="00D2215B"/>
    <w:rsid w:val="00D53732"/>
    <w:rsid w:val="00D64F65"/>
    <w:rsid w:val="00D82786"/>
    <w:rsid w:val="00DD6E0A"/>
    <w:rsid w:val="00DE56E7"/>
    <w:rsid w:val="00E34B5C"/>
    <w:rsid w:val="00E76744"/>
    <w:rsid w:val="00E87A2F"/>
    <w:rsid w:val="00E87D9D"/>
    <w:rsid w:val="00EB46AE"/>
    <w:rsid w:val="00EE78E1"/>
    <w:rsid w:val="00F06AAD"/>
    <w:rsid w:val="00F24CE5"/>
    <w:rsid w:val="00F663AB"/>
    <w:rsid w:val="00F75CAF"/>
    <w:rsid w:val="00F77C44"/>
    <w:rsid w:val="00FB7A15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5A"/>
  </w:style>
  <w:style w:type="paragraph" w:styleId="Textodeglobo">
    <w:name w:val="Balloon Text"/>
    <w:basedOn w:val="Normal"/>
    <w:link w:val="TextodegloboCar"/>
    <w:uiPriority w:val="99"/>
    <w:semiHidden/>
    <w:unhideWhenUsed/>
    <w:rsid w:val="00D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78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63C09"/>
    <w:rPr>
      <w:b/>
      <w:bCs/>
    </w:rPr>
  </w:style>
  <w:style w:type="paragraph" w:styleId="Prrafodelista">
    <w:name w:val="List Paragraph"/>
    <w:basedOn w:val="Normal"/>
    <w:uiPriority w:val="34"/>
    <w:qFormat/>
    <w:rsid w:val="0043370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C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360"/>
  </w:style>
  <w:style w:type="character" w:styleId="Hipervnculo">
    <w:name w:val="Hyperlink"/>
    <w:basedOn w:val="Fuentedeprrafopredeter"/>
    <w:uiPriority w:val="99"/>
    <w:rsid w:val="009C2360"/>
    <w:rPr>
      <w:color w:val="0000FF"/>
      <w:u w:val="single"/>
    </w:rPr>
  </w:style>
  <w:style w:type="paragraph" w:styleId="Sinespaciado">
    <w:name w:val="No Spacing"/>
    <w:uiPriority w:val="1"/>
    <w:qFormat/>
    <w:rsid w:val="009C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44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44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44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4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44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5A"/>
  </w:style>
  <w:style w:type="paragraph" w:styleId="Textodeglobo">
    <w:name w:val="Balloon Text"/>
    <w:basedOn w:val="Normal"/>
    <w:link w:val="TextodegloboCar"/>
    <w:uiPriority w:val="99"/>
    <w:semiHidden/>
    <w:unhideWhenUsed/>
    <w:rsid w:val="00D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78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63C09"/>
    <w:rPr>
      <w:b/>
      <w:bCs/>
    </w:rPr>
  </w:style>
  <w:style w:type="paragraph" w:styleId="Prrafodelista">
    <w:name w:val="List Paragraph"/>
    <w:basedOn w:val="Normal"/>
    <w:uiPriority w:val="34"/>
    <w:qFormat/>
    <w:rsid w:val="0043370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C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360"/>
  </w:style>
  <w:style w:type="character" w:styleId="Hipervnculo">
    <w:name w:val="Hyperlink"/>
    <w:basedOn w:val="Fuentedeprrafopredeter"/>
    <w:uiPriority w:val="99"/>
    <w:rsid w:val="009C2360"/>
    <w:rPr>
      <w:color w:val="0000FF"/>
      <w:u w:val="single"/>
    </w:rPr>
  </w:style>
  <w:style w:type="paragraph" w:styleId="Sinespaciado">
    <w:name w:val="No Spacing"/>
    <w:uiPriority w:val="1"/>
    <w:qFormat/>
    <w:rsid w:val="009C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44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44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44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4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4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4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75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11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07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476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1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0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5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03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76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icon-icons.com/icons2/808/PNG/512/linkedin_icon-icons.com_66096.p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mailto:evamc@varenga.es" TargetMode="External"/><Relationship Id="rId2" Type="http://schemas.openxmlformats.org/officeDocument/2006/relationships/numbering" Target="numbering.xml"/><Relationship Id="rId16" Type="http://schemas.openxmlformats.org/officeDocument/2006/relationships/image" Target="http://vignette1.wikia.nocookie.net/hieloyfuego/images/a/a1/%C3%8Dcono_Twitter.png/revision/latest?cb=2013092123235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entidad-nacional-de-acreditacio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enac.e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cogen.es/prensa.php?id=552" TargetMode="External"/><Relationship Id="rId14" Type="http://schemas.openxmlformats.org/officeDocument/2006/relationships/hyperlink" Target="https://twitter.com/ENAC_acredi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F7F0-68BC-40E8-A75E-11940474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Roman</dc:creator>
  <cp:lastModifiedBy>Eva Martin</cp:lastModifiedBy>
  <cp:revision>7</cp:revision>
  <dcterms:created xsi:type="dcterms:W3CDTF">2019-01-14T12:33:00Z</dcterms:created>
  <dcterms:modified xsi:type="dcterms:W3CDTF">2019-01-16T08:34:00Z</dcterms:modified>
</cp:coreProperties>
</file>