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11A0F" w:rsidRDefault="00411A0F" w14:paraId="441A4A45" w14:textId="77777777">
      <w:pPr>
        <w:jc w:val="both"/>
        <w:rPr>
          <w:rFonts w:ascii="Roboto" w:hAnsi="Roboto" w:eastAsia="Roboto" w:cs="Roboto"/>
          <w:b/>
          <w:sz w:val="32"/>
          <w:szCs w:val="32"/>
        </w:rPr>
      </w:pPr>
    </w:p>
    <w:p w:rsidR="00411A0F" w:rsidRDefault="00411A0F" w14:paraId="441A4A46" w14:textId="77777777">
      <w:pPr>
        <w:jc w:val="center"/>
        <w:rPr>
          <w:rFonts w:ascii="Roboto" w:hAnsi="Roboto" w:eastAsia="Roboto" w:cs="Roboto"/>
          <w:b/>
          <w:sz w:val="34"/>
          <w:szCs w:val="34"/>
        </w:rPr>
      </w:pPr>
      <w:bookmarkStart w:name="_gjdgxs" w:colFirst="0" w:colLast="0" w:id="0"/>
      <w:bookmarkEnd w:id="0"/>
    </w:p>
    <w:p w:rsidR="00411A0F" w:rsidRDefault="00000000" w14:paraId="441A4A47" w14:textId="77777777">
      <w:pPr>
        <w:jc w:val="center"/>
        <w:rPr>
          <w:rFonts w:ascii="Roboto" w:hAnsi="Roboto" w:eastAsia="Roboto" w:cs="Roboto"/>
          <w:b/>
          <w:sz w:val="34"/>
          <w:szCs w:val="34"/>
        </w:rPr>
      </w:pPr>
      <w:r>
        <w:rPr>
          <w:rFonts w:ascii="Roboto" w:hAnsi="Roboto" w:eastAsia="Roboto" w:cs="Roboto"/>
          <w:b/>
          <w:sz w:val="34"/>
          <w:szCs w:val="34"/>
        </w:rPr>
        <w:t>El Centro Nacional de Tecnología de Regadíos, primer acreditado por ENAC para ensayos en equipos de riego</w:t>
      </w:r>
    </w:p>
    <w:p w:rsidR="00411A0F" w:rsidRDefault="00000000" w14:paraId="441A4A48" w14:textId="77777777">
      <w:pPr>
        <w:shd w:val="clear" w:color="auto" w:fill="FFFFFF"/>
        <w:jc w:val="both"/>
        <w:rPr>
          <w:rFonts w:ascii="Roboto" w:hAnsi="Roboto" w:eastAsia="Roboto" w:cs="Roboto"/>
          <w:sz w:val="20"/>
          <w:szCs w:val="20"/>
          <w:highlight w:val="white"/>
        </w:rPr>
      </w:pPr>
      <w:r>
        <w:rPr>
          <w:rFonts w:ascii="Roboto" w:hAnsi="Roboto" w:eastAsia="Roboto" w:cs="Roboto"/>
          <w:sz w:val="20"/>
          <w:szCs w:val="20"/>
          <w:highlight w:val="white"/>
        </w:rPr>
        <w:t xml:space="preserve"> </w:t>
      </w:r>
    </w:p>
    <w:p w:rsidRPr="0035513F" w:rsidR="0035513F" w:rsidP="0035513F" w:rsidRDefault="0035513F" w14:paraId="01EC4665" w14:textId="77777777">
      <w:pPr>
        <w:numPr>
          <w:ilvl w:val="0"/>
          <w:numId w:val="1"/>
        </w:numPr>
        <w:ind w:left="1080"/>
        <w:jc w:val="both"/>
        <w:rPr>
          <w:rFonts w:ascii="Roboto" w:hAnsi="Roboto" w:eastAsia="Roboto" w:cs="Roboto"/>
          <w:sz w:val="20"/>
          <w:szCs w:val="20"/>
          <w:highlight w:val="white"/>
        </w:rPr>
      </w:pPr>
      <w:r w:rsidRPr="5B3DAD00" w:rsidR="0035513F">
        <w:rPr>
          <w:rFonts w:ascii="Roboto" w:hAnsi="Roboto" w:eastAsia="Roboto" w:cs="Roboto"/>
          <w:b w:val="1"/>
          <w:bCs w:val="1"/>
          <w:sz w:val="20"/>
          <w:szCs w:val="20"/>
          <w:highlight w:val="white"/>
        </w:rPr>
        <w:t xml:space="preserve">“El aseguramiento de la calidad de los materiales y equipos de riego que se vayan a instalar es fundamental para mejorar la eficiencia hídrica y energética de las redes”, Carlos Garrido </w:t>
      </w:r>
      <w:r w:rsidRPr="5B3DAD00" w:rsidR="0035513F">
        <w:rPr>
          <w:rFonts w:ascii="Roboto" w:hAnsi="Roboto" w:eastAsia="Roboto" w:cs="Roboto"/>
          <w:b w:val="1"/>
          <w:bCs w:val="1"/>
          <w:sz w:val="20"/>
          <w:szCs w:val="20"/>
          <w:highlight w:val="white"/>
        </w:rPr>
        <w:t>Garrido</w:t>
      </w:r>
      <w:r w:rsidRPr="5B3DAD00" w:rsidR="0035513F">
        <w:rPr>
          <w:rFonts w:ascii="Roboto" w:hAnsi="Roboto" w:eastAsia="Roboto" w:cs="Roboto"/>
          <w:b w:val="1"/>
          <w:bCs w:val="1"/>
          <w:sz w:val="20"/>
          <w:szCs w:val="20"/>
          <w:highlight w:val="white"/>
        </w:rPr>
        <w:t>, director del CENTER</w:t>
      </w:r>
    </w:p>
    <w:p w:rsidRPr="0035513F" w:rsidR="0035513F" w:rsidP="0035513F" w:rsidRDefault="0035513F" w14:paraId="01118E3D" w14:textId="77777777">
      <w:pPr>
        <w:ind w:left="1080"/>
        <w:jc w:val="both"/>
        <w:rPr>
          <w:rFonts w:ascii="Roboto" w:hAnsi="Roboto" w:eastAsia="Roboto" w:cs="Roboto"/>
          <w:sz w:val="20"/>
          <w:szCs w:val="20"/>
          <w:highlight w:val="white"/>
        </w:rPr>
      </w:pPr>
    </w:p>
    <w:p w:rsidR="00411A0F" w:rsidRDefault="00000000" w14:paraId="441A4A49" w14:textId="46BB0B97">
      <w:pPr>
        <w:numPr>
          <w:ilvl w:val="0"/>
          <w:numId w:val="1"/>
        </w:numPr>
        <w:ind w:left="1080"/>
        <w:jc w:val="both"/>
        <w:rPr>
          <w:rFonts w:ascii="Roboto" w:hAnsi="Roboto" w:eastAsia="Roboto" w:cs="Roboto"/>
          <w:sz w:val="20"/>
          <w:szCs w:val="20"/>
          <w:highlight w:val="white"/>
        </w:rPr>
      </w:pPr>
      <w:r w:rsidRPr="5B3DAD00" w:rsidR="00000000">
        <w:rPr>
          <w:rFonts w:ascii="Roboto" w:hAnsi="Roboto" w:eastAsia="Roboto" w:cs="Roboto"/>
          <w:b w:val="1"/>
          <w:bCs w:val="1"/>
          <w:sz w:val="20"/>
          <w:szCs w:val="20"/>
          <w:highlight w:val="white"/>
        </w:rPr>
        <w:t xml:space="preserve">Los ensayos </w:t>
      </w:r>
      <w:r w:rsidRPr="5B3DAD00" w:rsidR="008A6D90">
        <w:rPr>
          <w:rFonts w:ascii="Roboto" w:hAnsi="Roboto" w:eastAsia="Roboto" w:cs="Roboto"/>
          <w:b w:val="1"/>
          <w:bCs w:val="1"/>
          <w:sz w:val="20"/>
          <w:szCs w:val="20"/>
          <w:highlight w:val="white"/>
        </w:rPr>
        <w:t>para los que el CENTER ha obtenido la acreditación</w:t>
      </w:r>
      <w:r w:rsidRPr="5B3DAD00" w:rsidR="008A6D90">
        <w:rPr>
          <w:rFonts w:ascii="Roboto" w:hAnsi="Roboto" w:eastAsia="Roboto" w:cs="Roboto"/>
          <w:b w:val="1"/>
          <w:bCs w:val="1"/>
          <w:sz w:val="20"/>
          <w:szCs w:val="20"/>
          <w:highlight w:val="white"/>
        </w:rPr>
        <w:t xml:space="preserve"> </w:t>
      </w:r>
      <w:r w:rsidRPr="5B3DAD00" w:rsidR="00000000">
        <w:rPr>
          <w:rFonts w:ascii="Roboto" w:hAnsi="Roboto" w:eastAsia="Roboto" w:cs="Roboto"/>
          <w:b w:val="1"/>
          <w:bCs w:val="1"/>
          <w:sz w:val="20"/>
          <w:szCs w:val="20"/>
          <w:highlight w:val="white"/>
        </w:rPr>
        <w:t>sirven para evaluar y determinar los errores en la medida de indicación de caudal, la presión estática, la pérdida de presión, la durabilidad y la resistencia a las partículas sólidas en los equipos de riego</w:t>
      </w:r>
    </w:p>
    <w:p w:rsidR="00411A0F" w:rsidRDefault="00411A0F" w14:paraId="441A4A4A" w14:textId="77777777">
      <w:pPr>
        <w:ind w:left="720"/>
        <w:jc w:val="both"/>
        <w:rPr>
          <w:rFonts w:ascii="Roboto" w:hAnsi="Roboto" w:eastAsia="Roboto" w:cs="Roboto"/>
          <w:b/>
          <w:sz w:val="20"/>
          <w:szCs w:val="20"/>
          <w:highlight w:val="white"/>
        </w:rPr>
      </w:pPr>
    </w:p>
    <w:p w:rsidR="00411A0F" w:rsidP="5B3DAD00" w:rsidRDefault="00000000" w14:paraId="441A4A4C" w14:noSpellErr="1" w14:textId="00E9FD76">
      <w:pPr>
        <w:ind w:left="0"/>
        <w:jc w:val="both"/>
        <w:rPr>
          <w:rFonts w:ascii="Roboto" w:hAnsi="Roboto" w:eastAsia="Roboto" w:cs="Roboto"/>
          <w:b w:val="1"/>
          <w:bCs w:val="1"/>
          <w:color w:val="333333"/>
          <w:sz w:val="20"/>
          <w:szCs w:val="20"/>
          <w:highlight w:val="white"/>
        </w:rPr>
      </w:pPr>
    </w:p>
    <w:p w:rsidR="00411A0F" w:rsidP="5B3DAD00" w:rsidRDefault="00000000" w14:paraId="441A4A4D" w14:textId="755A1E9B">
      <w:pPr>
        <w:shd w:val="clear" w:color="auto" w:fill="FFFFFF" w:themeFill="background1"/>
        <w:jc w:val="both"/>
        <w:rPr>
          <w:rFonts w:ascii="Roboto" w:hAnsi="Roboto" w:eastAsia="Roboto" w:cs="Roboto"/>
          <w:color w:val="333333"/>
          <w:sz w:val="22"/>
          <w:szCs w:val="22"/>
          <w:highlight w:val="white"/>
        </w:rPr>
      </w:pPr>
      <w:r w:rsidRPr="5B3DAD00" w:rsidR="00000000">
        <w:rPr>
          <w:rFonts w:ascii="Roboto" w:hAnsi="Roboto" w:eastAsia="Roboto" w:cs="Roboto"/>
          <w:sz w:val="22"/>
          <w:szCs w:val="22"/>
          <w:highlight w:val="white"/>
        </w:rPr>
        <w:t xml:space="preserve">Madrid, 13 de marzo de 2023 - </w:t>
      </w:r>
      <w:r w:rsidRPr="5B3DAD00" w:rsidR="00000000">
        <w:rPr>
          <w:rFonts w:ascii="Roboto" w:hAnsi="Roboto" w:eastAsia="Roboto" w:cs="Roboto"/>
          <w:sz w:val="22"/>
          <w:szCs w:val="22"/>
          <w:highlight w:val="white"/>
        </w:rPr>
        <w:t>La Entidad Nacional de Acreditación (</w:t>
      </w:r>
      <w:r w:rsidRPr="5B3DAD00" w:rsidR="00000000">
        <w:rPr>
          <w:rFonts w:ascii="Roboto" w:hAnsi="Roboto" w:eastAsia="Roboto" w:cs="Roboto"/>
          <w:color w:val="333333"/>
          <w:sz w:val="22"/>
          <w:szCs w:val="22"/>
          <w:highlight w:val="white"/>
        </w:rPr>
        <w:t>ENAC</w:t>
      </w:r>
      <w:r w:rsidRPr="5B3DAD00" w:rsidR="00000000">
        <w:rPr>
          <w:rFonts w:ascii="Roboto" w:hAnsi="Roboto" w:eastAsia="Roboto" w:cs="Roboto"/>
          <w:color w:val="333333"/>
          <w:sz w:val="22"/>
          <w:szCs w:val="22"/>
          <w:highlight w:val="white"/>
        </w:rPr>
        <w:t>)</w:t>
      </w:r>
      <w:r w:rsidRPr="5B3DAD00" w:rsidR="00000000">
        <w:rPr>
          <w:rFonts w:ascii="Roboto" w:hAnsi="Roboto" w:eastAsia="Roboto" w:cs="Roboto"/>
          <w:color w:val="333333"/>
          <w:sz w:val="22"/>
          <w:szCs w:val="22"/>
          <w:highlight w:val="white"/>
        </w:rPr>
        <w:t xml:space="preserve"> ha otorgado </w:t>
      </w:r>
      <w:r w:rsidRPr="5B3DAD00" w:rsidR="00000000">
        <w:rPr>
          <w:rFonts w:ascii="Roboto" w:hAnsi="Roboto" w:eastAsia="Roboto" w:cs="Roboto"/>
          <w:color w:val="333333"/>
          <w:sz w:val="22"/>
          <w:szCs w:val="22"/>
          <w:highlight w:val="white"/>
        </w:rPr>
        <w:t>al Laboratorio Central para Ensayo de Materiales y Equipos de Riego del Centro Nacional de Tecnología de Regadíos (</w:t>
      </w:r>
      <w:hyperlink r:id="Re4cebbf17c674c4f">
        <w:r w:rsidRPr="5B3DAD00" w:rsidR="00000000">
          <w:rPr>
            <w:rFonts w:ascii="Roboto" w:hAnsi="Roboto" w:eastAsia="Roboto" w:cs="Roboto"/>
            <w:b w:val="1"/>
            <w:bCs w:val="1"/>
            <w:color w:val="62899C"/>
            <w:sz w:val="22"/>
            <w:szCs w:val="22"/>
            <w:highlight w:val="white"/>
            <w:u w:val="single"/>
          </w:rPr>
          <w:t>CENTER</w:t>
        </w:r>
      </w:hyperlink>
      <w:r w:rsidRPr="5B3DAD00" w:rsidR="00000000">
        <w:rPr>
          <w:rFonts w:ascii="Roboto" w:hAnsi="Roboto" w:eastAsia="Roboto" w:cs="Roboto"/>
          <w:color w:val="333333"/>
          <w:sz w:val="22"/>
          <w:szCs w:val="22"/>
          <w:highlight w:val="white"/>
        </w:rPr>
        <w:t>)</w:t>
      </w:r>
      <w:r w:rsidRPr="5B3DAD00" w:rsidR="00000000">
        <w:rPr>
          <w:rFonts w:ascii="Roboto" w:hAnsi="Roboto" w:eastAsia="Roboto" w:cs="Roboto"/>
          <w:color w:val="333333"/>
          <w:sz w:val="22"/>
          <w:szCs w:val="22"/>
          <w:highlight w:val="white"/>
        </w:rPr>
        <w:t xml:space="preserve"> la acreditación</w:t>
      </w:r>
      <w:r w:rsidRPr="5B3DAD00" w:rsidR="00000000">
        <w:rPr>
          <w:rFonts w:ascii="Roboto" w:hAnsi="Roboto" w:eastAsia="Roboto" w:cs="Roboto"/>
          <w:color w:val="333333"/>
          <w:sz w:val="22"/>
          <w:szCs w:val="22"/>
          <w:highlight w:val="white"/>
        </w:rPr>
        <w:t xml:space="preserve"> para la realización de </w:t>
      </w:r>
      <w:r w:rsidRPr="5B3DAD00" w:rsidR="00000000">
        <w:rPr>
          <w:rFonts w:ascii="Roboto" w:hAnsi="Roboto" w:eastAsia="Roboto" w:cs="Roboto"/>
          <w:b w:val="1"/>
          <w:bCs w:val="1"/>
          <w:color w:val="333333"/>
          <w:sz w:val="22"/>
          <w:szCs w:val="22"/>
          <w:highlight w:val="white"/>
        </w:rPr>
        <w:t>ensayos de válvulas y contadores de riego</w:t>
      </w:r>
      <w:r w:rsidRPr="5B3DAD00" w:rsidR="00000000">
        <w:rPr>
          <w:rFonts w:ascii="Roboto" w:hAnsi="Roboto" w:eastAsia="Roboto" w:cs="Roboto"/>
          <w:color w:val="333333"/>
          <w:sz w:val="22"/>
          <w:szCs w:val="22"/>
          <w:highlight w:val="white"/>
        </w:rPr>
        <w:t xml:space="preserve">. De este modo, el CENTER, adscrito a la </w:t>
      </w:r>
      <w:r w:rsidRPr="5B3DAD00" w:rsidR="00000000">
        <w:rPr>
          <w:rFonts w:ascii="Roboto" w:hAnsi="Roboto" w:eastAsia="Roboto" w:cs="Roboto"/>
          <w:b w:val="1"/>
          <w:bCs w:val="1"/>
          <w:color w:val="333333"/>
          <w:sz w:val="22"/>
          <w:szCs w:val="22"/>
          <w:highlight w:val="white"/>
        </w:rPr>
        <w:t>S</w:t>
      </w:r>
      <w:r w:rsidRPr="5B3DAD00" w:rsidR="00000000">
        <w:rPr>
          <w:rFonts w:ascii="Roboto" w:hAnsi="Roboto" w:eastAsia="Roboto" w:cs="Roboto"/>
          <w:b w:val="1"/>
          <w:bCs w:val="1"/>
          <w:color w:val="333333"/>
          <w:sz w:val="22"/>
          <w:szCs w:val="22"/>
          <w:highlight w:val="white"/>
        </w:rPr>
        <w:t>ubdirección General de Regadíos, Caminos Naturales e Infraestructuras Rurales del Ministerio de Agricultura, Pesca y Alimentación</w:t>
      </w:r>
      <w:r w:rsidRPr="5B3DAD00" w:rsidR="00000000">
        <w:rPr>
          <w:rFonts w:ascii="Roboto" w:hAnsi="Roboto" w:eastAsia="Roboto" w:cs="Roboto"/>
          <w:color w:val="333333"/>
          <w:sz w:val="22"/>
          <w:szCs w:val="22"/>
          <w:highlight w:val="white"/>
        </w:rPr>
        <w:t xml:space="preserve">, se convierte en la </w:t>
      </w:r>
      <w:r w:rsidRPr="5B3DAD00" w:rsidR="00000000">
        <w:rPr>
          <w:rFonts w:ascii="Roboto" w:hAnsi="Roboto" w:eastAsia="Roboto" w:cs="Roboto"/>
          <w:b w:val="1"/>
          <w:bCs w:val="1"/>
          <w:color w:val="333333"/>
          <w:sz w:val="22"/>
          <w:szCs w:val="22"/>
          <w:highlight w:val="white"/>
        </w:rPr>
        <w:t>primera entidad acreditada en España</w:t>
      </w:r>
      <w:r w:rsidRPr="5B3DAD00" w:rsidR="00000000">
        <w:rPr>
          <w:rFonts w:ascii="Roboto" w:hAnsi="Roboto" w:eastAsia="Roboto" w:cs="Roboto"/>
          <w:color w:val="333333"/>
          <w:sz w:val="22"/>
          <w:szCs w:val="22"/>
          <w:highlight w:val="white"/>
        </w:rPr>
        <w:t xml:space="preserve"> para realizar este tipo de evaluación.</w:t>
      </w:r>
    </w:p>
    <w:p w:rsidR="00411A0F" w:rsidRDefault="00411A0F" w14:paraId="441A4A4E" w14:textId="77777777">
      <w:pPr>
        <w:shd w:val="clear" w:color="auto" w:fill="FFFFFF"/>
        <w:jc w:val="both"/>
        <w:rPr>
          <w:rFonts w:ascii="Roboto" w:hAnsi="Roboto" w:eastAsia="Roboto" w:cs="Roboto"/>
          <w:color w:val="333333"/>
          <w:sz w:val="22"/>
          <w:szCs w:val="22"/>
          <w:highlight w:val="white"/>
        </w:rPr>
      </w:pPr>
    </w:p>
    <w:p w:rsidR="00411A0F" w:rsidRDefault="00000000" w14:paraId="441A4A4F" w14:textId="77777777">
      <w:pPr>
        <w:shd w:val="clear" w:color="auto" w:fill="FFFFFF"/>
        <w:spacing w:after="160"/>
        <w:jc w:val="both"/>
        <w:rPr>
          <w:rFonts w:ascii="Roboto" w:hAnsi="Roboto" w:eastAsia="Roboto" w:cs="Roboto"/>
          <w:color w:val="333333"/>
          <w:sz w:val="22"/>
          <w:szCs w:val="22"/>
          <w:highlight w:val="white"/>
        </w:rPr>
      </w:pPr>
      <w:r>
        <w:rPr>
          <w:rFonts w:ascii="Roboto" w:hAnsi="Roboto" w:eastAsia="Roboto" w:cs="Roboto"/>
          <w:color w:val="333333"/>
          <w:sz w:val="22"/>
          <w:szCs w:val="22"/>
          <w:highlight w:val="white"/>
        </w:rPr>
        <w:t xml:space="preserve">Los ensayos para los que el CENTER ha obtenido la acreditación </w:t>
      </w:r>
      <w:r>
        <w:rPr>
          <w:rFonts w:ascii="Roboto" w:hAnsi="Roboto" w:eastAsia="Roboto" w:cs="Roboto"/>
          <w:b/>
          <w:color w:val="333333"/>
          <w:sz w:val="22"/>
          <w:szCs w:val="22"/>
          <w:highlight w:val="white"/>
        </w:rPr>
        <w:t>sirven para evaluar y determinar los errores en la medida de indicación de caudal, la presión estática, la pérdida de presión, la durabilidad y la resistencia a las partículas sólidas en los equipos de riego.</w:t>
      </w:r>
      <w:r>
        <w:rPr>
          <w:rFonts w:ascii="Roboto" w:hAnsi="Roboto" w:eastAsia="Roboto" w:cs="Roboto"/>
          <w:color w:val="333333"/>
          <w:sz w:val="22"/>
          <w:szCs w:val="22"/>
          <w:highlight w:val="white"/>
        </w:rPr>
        <w:t xml:space="preserve"> En palabras de Carlos Garrido </w:t>
      </w:r>
      <w:proofErr w:type="spellStart"/>
      <w:r>
        <w:rPr>
          <w:rFonts w:ascii="Roboto" w:hAnsi="Roboto" w:eastAsia="Roboto" w:cs="Roboto"/>
          <w:color w:val="333333"/>
          <w:sz w:val="22"/>
          <w:szCs w:val="22"/>
          <w:highlight w:val="white"/>
        </w:rPr>
        <w:t>Garrido</w:t>
      </w:r>
      <w:proofErr w:type="spellEnd"/>
      <w:r>
        <w:rPr>
          <w:rFonts w:ascii="Roboto" w:hAnsi="Roboto" w:eastAsia="Roboto" w:cs="Roboto"/>
          <w:color w:val="333333"/>
          <w:sz w:val="22"/>
          <w:szCs w:val="22"/>
          <w:highlight w:val="white"/>
        </w:rPr>
        <w:t>, director del CENTER, “con la acreditación, se asegura que todo el personal técnico que ejecuta los ensayos está cualificado para ello y que los equipos claves están calibrados y con trazabilidad al Sistema Internacional”.</w:t>
      </w:r>
    </w:p>
    <w:p w:rsidR="00411A0F" w:rsidRDefault="00000000" w14:paraId="441A4A50" w14:textId="77777777">
      <w:pPr>
        <w:shd w:val="clear" w:color="auto" w:fill="FFFFFF"/>
        <w:spacing w:after="160"/>
        <w:jc w:val="both"/>
        <w:rPr>
          <w:rFonts w:ascii="Roboto" w:hAnsi="Roboto" w:eastAsia="Roboto" w:cs="Roboto"/>
          <w:color w:val="333333"/>
          <w:sz w:val="22"/>
          <w:szCs w:val="22"/>
          <w:highlight w:val="white"/>
        </w:rPr>
      </w:pPr>
      <w:r>
        <w:rPr>
          <w:rFonts w:ascii="Roboto" w:hAnsi="Roboto" w:eastAsia="Roboto" w:cs="Roboto"/>
          <w:color w:val="333333"/>
          <w:sz w:val="22"/>
          <w:szCs w:val="22"/>
          <w:highlight w:val="white"/>
        </w:rPr>
        <w:t>Gracias a esta acreditación, los fabricantes de contadores o válvulas de riego pueden contar con un laboratorio que realice este tipo de ensayos con las máximas garantías, ya que CENTER ha demostrado que los lleva a cabo con un método normalizado y que dispone de la necesaria solvencia técnica cumpliendo con los requisitos de la norma internacional UNE-EN ISO/IEC 17025.</w:t>
      </w:r>
    </w:p>
    <w:p w:rsidR="00411A0F" w:rsidRDefault="00000000" w14:paraId="441A4A51" w14:textId="77777777">
      <w:pPr>
        <w:shd w:val="clear" w:color="auto" w:fill="FFFFFF"/>
        <w:spacing w:after="160"/>
        <w:jc w:val="both"/>
        <w:rPr>
          <w:rFonts w:ascii="Roboto" w:hAnsi="Roboto" w:eastAsia="Roboto" w:cs="Roboto"/>
          <w:color w:val="333333"/>
          <w:sz w:val="22"/>
          <w:szCs w:val="22"/>
          <w:highlight w:val="white"/>
        </w:rPr>
      </w:pPr>
      <w:r>
        <w:rPr>
          <w:rFonts w:ascii="Roboto" w:hAnsi="Roboto" w:eastAsia="Roboto" w:cs="Roboto"/>
          <w:color w:val="333333"/>
          <w:sz w:val="22"/>
          <w:szCs w:val="22"/>
          <w:highlight w:val="white"/>
        </w:rPr>
        <w:t xml:space="preserve">“La acreditación genera una mayor confianza, si cabe, en nuestros clientes, sobre todo en un momento en el que el MAPA tiene previsto acometer una gran inversión en modernización de regadíos durante los próximos años, y </w:t>
      </w:r>
      <w:r>
        <w:rPr>
          <w:rFonts w:ascii="Roboto" w:hAnsi="Roboto" w:eastAsia="Roboto" w:cs="Roboto"/>
          <w:b/>
          <w:color w:val="333333"/>
          <w:sz w:val="22"/>
          <w:szCs w:val="22"/>
          <w:highlight w:val="white"/>
        </w:rPr>
        <w:t>donde el aseguramiento de la calidad de los materiales y equipos de riego que se vayan a instalar es fundamental para mejorar la eficiencia hídrica y energética de las redes</w:t>
      </w:r>
      <w:r>
        <w:rPr>
          <w:rFonts w:ascii="Roboto" w:hAnsi="Roboto" w:eastAsia="Roboto" w:cs="Roboto"/>
          <w:color w:val="333333"/>
          <w:sz w:val="22"/>
          <w:szCs w:val="22"/>
          <w:highlight w:val="white"/>
        </w:rPr>
        <w:t>”, asegura el director del CENTER.</w:t>
      </w:r>
    </w:p>
    <w:p w:rsidR="00411A0F" w:rsidRDefault="00000000" w14:paraId="441A4A52" w14:textId="77777777">
      <w:pPr>
        <w:shd w:val="clear" w:color="auto" w:fill="FFFFFF"/>
        <w:spacing w:after="160"/>
        <w:jc w:val="both"/>
        <w:rPr>
          <w:rFonts w:ascii="Roboto" w:hAnsi="Roboto" w:eastAsia="Roboto" w:cs="Roboto"/>
          <w:b/>
          <w:color w:val="333333"/>
          <w:sz w:val="22"/>
          <w:szCs w:val="22"/>
          <w:highlight w:val="white"/>
        </w:rPr>
      </w:pPr>
      <w:r>
        <w:rPr>
          <w:rFonts w:ascii="Roboto" w:hAnsi="Roboto" w:eastAsia="Roboto" w:cs="Roboto"/>
          <w:b/>
          <w:color w:val="333333"/>
          <w:sz w:val="22"/>
          <w:szCs w:val="22"/>
          <w:highlight w:val="white"/>
        </w:rPr>
        <w:t>Confianza de la Administración Pública en la acreditación</w:t>
      </w:r>
    </w:p>
    <w:p w:rsidR="00411A0F" w:rsidRDefault="00000000" w14:paraId="441A4A53" w14:textId="77777777">
      <w:pPr>
        <w:shd w:val="clear" w:color="auto" w:fill="FFFFFF"/>
        <w:spacing w:after="160"/>
        <w:jc w:val="both"/>
        <w:rPr>
          <w:rFonts w:ascii="Roboto" w:hAnsi="Roboto" w:eastAsia="Roboto" w:cs="Roboto"/>
          <w:color w:val="333333"/>
          <w:sz w:val="22"/>
          <w:szCs w:val="22"/>
          <w:highlight w:val="white"/>
        </w:rPr>
      </w:pPr>
      <w:r>
        <w:rPr>
          <w:rFonts w:ascii="Roboto" w:hAnsi="Roboto" w:eastAsia="Roboto" w:cs="Roboto"/>
          <w:color w:val="333333"/>
          <w:sz w:val="22"/>
          <w:szCs w:val="22"/>
          <w:highlight w:val="white"/>
        </w:rPr>
        <w:lastRenderedPageBreak/>
        <w:t>Una vez más, la Administración Pública demuestra la confianza que deposita en la acreditación de ENAC, no solo requiriéndola en disposiciones reglamentarias y pliegos de contratación para garantizar la seguridad e integridad de actividades de evaluación, sino también contando con ella para aportar las máximas garantías a sus propios organismos de evaluación, como, en este caso, ha sucedido con el Centro Nacional de Tecnología de Regadíos.</w:t>
      </w:r>
    </w:p>
    <w:p w:rsidR="00411A0F" w:rsidRDefault="00000000" w14:paraId="441A4A54" w14:textId="77777777">
      <w:pPr>
        <w:shd w:val="clear" w:color="auto" w:fill="FFFFFF"/>
        <w:spacing w:after="160"/>
        <w:jc w:val="both"/>
        <w:rPr>
          <w:rFonts w:ascii="Roboto" w:hAnsi="Roboto" w:eastAsia="Roboto" w:cs="Roboto"/>
          <w:color w:val="333333"/>
          <w:sz w:val="22"/>
          <w:szCs w:val="22"/>
          <w:highlight w:val="white"/>
        </w:rPr>
      </w:pPr>
      <w:r>
        <w:rPr>
          <w:rFonts w:ascii="Roboto" w:hAnsi="Roboto" w:eastAsia="Roboto" w:cs="Roboto"/>
          <w:color w:val="333333"/>
          <w:sz w:val="22"/>
          <w:szCs w:val="22"/>
          <w:highlight w:val="white"/>
        </w:rPr>
        <w:t xml:space="preserve">Tal y como asegura director, “cada vez es más frecuente que tanto las Administraciones Públicas como las constructoras y los proyectistas encarguen controles de calidad para </w:t>
      </w:r>
      <w:r>
        <w:rPr>
          <w:rFonts w:ascii="Roboto" w:hAnsi="Roboto" w:eastAsia="Roboto" w:cs="Roboto"/>
          <w:b/>
          <w:color w:val="333333"/>
          <w:sz w:val="22"/>
          <w:szCs w:val="22"/>
          <w:highlight w:val="white"/>
        </w:rPr>
        <w:t>comprobar que lo que se ha pedido en los pliegos de prescripciones técnicas se cumple rigurosamente</w:t>
      </w:r>
      <w:r>
        <w:rPr>
          <w:rFonts w:ascii="Roboto" w:hAnsi="Roboto" w:eastAsia="Roboto" w:cs="Roboto"/>
          <w:color w:val="333333"/>
          <w:sz w:val="22"/>
          <w:szCs w:val="22"/>
          <w:highlight w:val="white"/>
        </w:rPr>
        <w:t xml:space="preserve"> y, hacerlo en un laboratorio acreditado asegura obtener resultados más confiables y reducir riesgos”.</w:t>
      </w:r>
    </w:p>
    <w:p w:rsidR="00411A0F" w:rsidRDefault="00411A0F" w14:paraId="441A4A55" w14:textId="77777777">
      <w:pPr>
        <w:shd w:val="clear" w:color="auto" w:fill="FFFFFF"/>
        <w:jc w:val="both"/>
        <w:rPr>
          <w:rFonts w:ascii="Roboto" w:hAnsi="Roboto" w:eastAsia="Roboto" w:cs="Roboto"/>
          <w:sz w:val="22"/>
          <w:szCs w:val="22"/>
          <w:highlight w:val="white"/>
        </w:rPr>
      </w:pPr>
    </w:p>
    <w:p w:rsidR="00411A0F" w:rsidRDefault="00000000" w14:paraId="441A4A56" w14:textId="77777777">
      <w:pPr>
        <w:spacing w:after="200" w:line="276" w:lineRule="auto"/>
        <w:jc w:val="both"/>
        <w:rPr>
          <w:rFonts w:ascii="Roboto" w:hAnsi="Roboto" w:eastAsia="Roboto" w:cs="Roboto"/>
          <w:b/>
          <w:color w:val="E83544"/>
          <w:sz w:val="22"/>
          <w:szCs w:val="22"/>
        </w:rPr>
      </w:pPr>
      <w:r>
        <w:rPr>
          <w:rFonts w:ascii="Roboto" w:hAnsi="Roboto" w:eastAsia="Roboto" w:cs="Roboto"/>
          <w:b/>
          <w:color w:val="E83544"/>
          <w:sz w:val="22"/>
          <w:szCs w:val="22"/>
        </w:rPr>
        <w:t>Sobre ENAC</w:t>
      </w:r>
    </w:p>
    <w:p w:rsidR="00411A0F" w:rsidRDefault="00000000" w14:paraId="441A4A57" w14:textId="7C00785A">
      <w:pPr>
        <w:jc w:val="both"/>
        <w:rPr>
          <w:rFonts w:ascii="Roboto" w:hAnsi="Roboto" w:eastAsia="Roboto" w:cs="Roboto"/>
          <w:sz w:val="22"/>
          <w:szCs w:val="22"/>
        </w:rPr>
      </w:pPr>
      <w:r w:rsidRPr="5B3DAD00" w:rsidR="00000000">
        <w:rPr>
          <w:rFonts w:ascii="Roboto" w:hAnsi="Roboto" w:eastAsia="Roboto" w:cs="Roboto"/>
          <w:sz w:val="22"/>
          <w:szCs w:val="22"/>
        </w:rPr>
        <w:t>La Entidad Nacional de Acreditación – ENAC – es la entidad designada por el Gobierno para operar en España como el único Organismo Nacional de Acreditación, en aplicación del Reglamento (CE) nº</w:t>
      </w:r>
      <w:r w:rsidRPr="5B3DAD00" w:rsidR="00000000">
        <w:rPr>
          <w:rFonts w:ascii="Roboto" w:hAnsi="Roboto" w:eastAsia="Roboto" w:cs="Roboto"/>
          <w:sz w:val="22"/>
          <w:szCs w:val="22"/>
        </w:rPr>
        <w:t>765/2008 del Parlamento Europeo que regula el funcionamiento de la acreditación en Europa.</w:t>
      </w:r>
    </w:p>
    <w:p w:rsidR="00411A0F" w:rsidRDefault="00000000" w14:paraId="441A4A58" w14:textId="77777777">
      <w:pPr>
        <w:jc w:val="both"/>
        <w:rPr>
          <w:rFonts w:ascii="Roboto" w:hAnsi="Roboto" w:eastAsia="Roboto" w:cs="Roboto"/>
          <w:sz w:val="22"/>
          <w:szCs w:val="22"/>
        </w:rPr>
      </w:pPr>
      <w:r>
        <w:rPr>
          <w:rFonts w:ascii="Roboto" w:hAnsi="Roboto" w:eastAsia="Roboto" w:cs="Roboto"/>
          <w:color w:val="1F497D"/>
          <w:sz w:val="22"/>
          <w:szCs w:val="22"/>
        </w:rPr>
        <w:t> </w:t>
      </w:r>
    </w:p>
    <w:p w:rsidR="00411A0F" w:rsidRDefault="00000000" w14:paraId="441A4A59" w14:textId="77777777">
      <w:pPr>
        <w:jc w:val="both"/>
        <w:rPr>
          <w:rFonts w:ascii="Roboto" w:hAnsi="Roboto" w:eastAsia="Roboto" w:cs="Roboto"/>
          <w:sz w:val="22"/>
          <w:szCs w:val="22"/>
        </w:rPr>
      </w:pPr>
      <w:r>
        <w:rPr>
          <w:rFonts w:ascii="Roboto" w:hAnsi="Roboto" w:eastAsia="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411A0F" w:rsidRDefault="00000000" w14:paraId="441A4A5A" w14:textId="77777777">
      <w:pPr>
        <w:jc w:val="both"/>
        <w:rPr>
          <w:rFonts w:ascii="Roboto" w:hAnsi="Roboto" w:eastAsia="Roboto" w:cs="Roboto"/>
          <w:sz w:val="22"/>
          <w:szCs w:val="22"/>
        </w:rPr>
      </w:pPr>
      <w:r>
        <w:rPr>
          <w:rFonts w:ascii="Roboto" w:hAnsi="Roboto" w:eastAsia="Roboto" w:cs="Roboto"/>
          <w:sz w:val="22"/>
          <w:szCs w:val="22"/>
        </w:rPr>
        <w:t> </w:t>
      </w:r>
    </w:p>
    <w:p w:rsidR="00411A0F" w:rsidRDefault="00000000" w14:paraId="441A4A5B" w14:textId="77777777">
      <w:pPr>
        <w:jc w:val="both"/>
        <w:rPr>
          <w:rFonts w:ascii="Roboto" w:hAnsi="Roboto" w:eastAsia="Roboto" w:cs="Roboto"/>
          <w:sz w:val="22"/>
          <w:szCs w:val="22"/>
        </w:rPr>
      </w:pPr>
      <w:r>
        <w:rPr>
          <w:rFonts w:ascii="Roboto" w:hAnsi="Roboto" w:eastAsia="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411A0F" w:rsidRDefault="00411A0F" w14:paraId="441A4A5C" w14:textId="77777777">
      <w:pPr>
        <w:jc w:val="both"/>
        <w:rPr>
          <w:rFonts w:ascii="Roboto" w:hAnsi="Roboto" w:eastAsia="Roboto" w:cs="Roboto"/>
          <w:sz w:val="22"/>
          <w:szCs w:val="22"/>
        </w:rPr>
      </w:pPr>
    </w:p>
    <w:p w:rsidR="00411A0F" w:rsidRDefault="00411A0F" w14:paraId="441A4A5D" w14:textId="77777777">
      <w:pPr>
        <w:jc w:val="both"/>
        <w:rPr>
          <w:rFonts w:ascii="Roboto" w:hAnsi="Roboto" w:eastAsia="Roboto" w:cs="Roboto"/>
          <w:sz w:val="22"/>
          <w:szCs w:val="22"/>
        </w:rPr>
      </w:pPr>
    </w:p>
    <w:p w:rsidR="00411A0F" w:rsidRDefault="00000000" w14:paraId="441A4A5E" w14:textId="77777777">
      <w:pPr>
        <w:pBdr>
          <w:bottom w:val="single" w:color="000000" w:sz="12" w:space="1"/>
        </w:pBdr>
        <w:jc w:val="both"/>
        <w:rPr>
          <w:rFonts w:ascii="Roboto" w:hAnsi="Roboto" w:eastAsia="Roboto" w:cs="Roboto"/>
          <w:color w:val="E83544"/>
          <w:sz w:val="22"/>
          <w:szCs w:val="22"/>
        </w:rPr>
      </w:pPr>
      <w:hyperlink r:id="rId11">
        <w:r>
          <w:rPr>
            <w:rFonts w:ascii="Roboto" w:hAnsi="Roboto" w:eastAsia="Roboto" w:cs="Roboto"/>
            <w:color w:val="E83544"/>
            <w:sz w:val="22"/>
            <w:szCs w:val="22"/>
            <w:u w:val="single"/>
          </w:rPr>
          <w:t>www.enac.es</w:t>
        </w:r>
      </w:hyperlink>
      <w:r>
        <w:rPr>
          <w:rFonts w:ascii="Roboto" w:hAnsi="Roboto" w:eastAsia="Roboto" w:cs="Roboto"/>
          <w:color w:val="E83544"/>
          <w:sz w:val="22"/>
          <w:szCs w:val="22"/>
        </w:rPr>
        <w:t xml:space="preserve"> </w:t>
      </w:r>
    </w:p>
    <w:p w:rsidR="00411A0F" w:rsidRDefault="00411A0F" w14:paraId="441A4A5F" w14:textId="77777777">
      <w:pPr>
        <w:pBdr>
          <w:bottom w:val="single" w:color="000000" w:sz="12" w:space="1"/>
        </w:pBdr>
        <w:jc w:val="both"/>
        <w:rPr>
          <w:rFonts w:ascii="Roboto" w:hAnsi="Roboto" w:eastAsia="Roboto" w:cs="Roboto"/>
          <w:color w:val="E83544"/>
          <w:sz w:val="22"/>
          <w:szCs w:val="22"/>
        </w:rPr>
      </w:pPr>
    </w:p>
    <w:p w:rsidR="00411A0F" w:rsidRDefault="00000000" w14:paraId="441A4A60" w14:textId="77777777">
      <w:pPr>
        <w:pBdr>
          <w:bottom w:val="single" w:color="000000" w:sz="12" w:space="1"/>
        </w:pBdr>
        <w:jc w:val="both"/>
        <w:rPr>
          <w:rFonts w:ascii="Roboto" w:hAnsi="Roboto" w:eastAsia="Roboto" w:cs="Roboto"/>
          <w:sz w:val="22"/>
          <w:szCs w:val="22"/>
        </w:rPr>
      </w:pPr>
      <w:r>
        <w:rPr>
          <w:rFonts w:ascii="Roboto" w:hAnsi="Roboto" w:eastAsia="Roboto" w:cs="Roboto"/>
          <w:color w:val="0000FF"/>
          <w:sz w:val="22"/>
          <w:szCs w:val="22"/>
        </w:rPr>
        <w:t xml:space="preserve"> </w:t>
      </w:r>
      <w:r>
        <w:rPr>
          <w:rFonts w:ascii="Roboto" w:hAnsi="Roboto" w:eastAsia="Roboto" w:cs="Roboto"/>
          <w:noProof/>
          <w:color w:val="0000FF"/>
          <w:sz w:val="22"/>
          <w:szCs w:val="22"/>
        </w:rPr>
        <w:drawing>
          <wp:inline distT="0" distB="0" distL="0" distR="0" wp14:anchorId="441A4A6A" wp14:editId="441A4A6B">
            <wp:extent cx="304800" cy="304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04800" cy="304800"/>
                    </a:xfrm>
                    <a:prstGeom prst="rect">
                      <a:avLst/>
                    </a:prstGeom>
                    <a:ln/>
                  </pic:spPr>
                </pic:pic>
              </a:graphicData>
            </a:graphic>
          </wp:inline>
        </w:drawing>
      </w:r>
      <w:r>
        <w:rPr>
          <w:rFonts w:ascii="Roboto" w:hAnsi="Roboto" w:eastAsia="Roboto" w:cs="Roboto"/>
          <w:color w:val="0000FF"/>
          <w:sz w:val="22"/>
          <w:szCs w:val="22"/>
        </w:rPr>
        <w:t xml:space="preserve">  </w:t>
      </w:r>
      <w:r>
        <w:rPr>
          <w:rFonts w:ascii="Roboto" w:hAnsi="Roboto" w:eastAsia="Roboto" w:cs="Roboto"/>
          <w:noProof/>
          <w:color w:val="0000FF"/>
          <w:sz w:val="22"/>
          <w:szCs w:val="22"/>
        </w:rPr>
        <w:drawing>
          <wp:inline distT="0" distB="0" distL="0" distR="0" wp14:anchorId="441A4A6C" wp14:editId="441A4A6D">
            <wp:extent cx="304800" cy="304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p>
    <w:p w:rsidR="00411A0F" w:rsidRDefault="00411A0F" w14:paraId="441A4A61" w14:textId="77777777">
      <w:pPr>
        <w:pBdr>
          <w:bottom w:val="single" w:color="000000" w:sz="12" w:space="1"/>
        </w:pBdr>
        <w:jc w:val="both"/>
        <w:rPr>
          <w:rFonts w:ascii="Roboto" w:hAnsi="Roboto" w:eastAsia="Roboto" w:cs="Roboto"/>
          <w:color w:val="E83544"/>
          <w:sz w:val="22"/>
          <w:szCs w:val="22"/>
        </w:rPr>
      </w:pPr>
    </w:p>
    <w:p w:rsidR="00411A0F" w:rsidRDefault="00411A0F" w14:paraId="441A4A62" w14:textId="77777777">
      <w:pPr>
        <w:jc w:val="both"/>
        <w:rPr>
          <w:rFonts w:ascii="Roboto" w:hAnsi="Roboto" w:eastAsia="Roboto" w:cs="Roboto"/>
          <w:color w:val="E83544"/>
          <w:sz w:val="22"/>
          <w:szCs w:val="22"/>
        </w:rPr>
      </w:pPr>
    </w:p>
    <w:p w:rsidR="00411A0F" w:rsidRDefault="00000000" w14:paraId="441A4A63" w14:textId="77777777">
      <w:pPr>
        <w:jc w:val="both"/>
        <w:rPr>
          <w:rFonts w:ascii="Roboto" w:hAnsi="Roboto" w:eastAsia="Roboto" w:cs="Roboto"/>
          <w:sz w:val="22"/>
          <w:szCs w:val="22"/>
        </w:rPr>
      </w:pPr>
      <w:r>
        <w:rPr>
          <w:rFonts w:ascii="Roboto" w:hAnsi="Roboto" w:eastAsia="Roboto" w:cs="Roboto"/>
          <w:sz w:val="22"/>
          <w:szCs w:val="22"/>
        </w:rPr>
        <w:t>Para más información sobre la nota de prensa, resolver dudas o gestionar entrevistas</w:t>
      </w:r>
    </w:p>
    <w:p w:rsidR="00411A0F" w:rsidRDefault="00000000" w14:paraId="441A4A64" w14:textId="77777777">
      <w:pPr>
        <w:jc w:val="both"/>
        <w:rPr>
          <w:rFonts w:ascii="Roboto" w:hAnsi="Roboto" w:eastAsia="Roboto" w:cs="Roboto"/>
          <w:sz w:val="22"/>
          <w:szCs w:val="22"/>
        </w:rPr>
      </w:pPr>
      <w:r>
        <w:rPr>
          <w:rFonts w:ascii="Roboto" w:hAnsi="Roboto" w:eastAsia="Roboto" w:cs="Roboto"/>
          <w:sz w:val="22"/>
          <w:szCs w:val="22"/>
        </w:rPr>
        <w:t>Eva Martín</w:t>
      </w:r>
    </w:p>
    <w:p w:rsidR="00411A0F" w:rsidRDefault="00000000" w14:paraId="441A4A65" w14:textId="77777777">
      <w:pPr>
        <w:jc w:val="both"/>
        <w:rPr>
          <w:rFonts w:ascii="Roboto" w:hAnsi="Roboto" w:eastAsia="Roboto" w:cs="Roboto"/>
          <w:sz w:val="22"/>
          <w:szCs w:val="22"/>
        </w:rPr>
      </w:pPr>
      <w:r>
        <w:rPr>
          <w:rFonts w:ascii="Roboto" w:hAnsi="Roboto" w:eastAsia="Roboto" w:cs="Roboto"/>
          <w:sz w:val="22"/>
          <w:szCs w:val="22"/>
        </w:rPr>
        <w:t xml:space="preserve">Tfno. 628 17 49 01 / </w:t>
      </w:r>
      <w:r>
        <w:rPr>
          <w:rFonts w:ascii="Roboto" w:hAnsi="Roboto" w:eastAsia="Roboto" w:cs="Roboto"/>
          <w:color w:val="E83544"/>
          <w:sz w:val="22"/>
          <w:szCs w:val="22"/>
        </w:rPr>
        <w:t xml:space="preserve"> </w:t>
      </w:r>
      <w:hyperlink r:id="rId14">
        <w:r>
          <w:rPr>
            <w:rFonts w:ascii="Roboto" w:hAnsi="Roboto" w:eastAsia="Roboto" w:cs="Roboto"/>
            <w:color w:val="E83544"/>
            <w:sz w:val="22"/>
            <w:szCs w:val="22"/>
            <w:u w:val="single"/>
          </w:rPr>
          <w:t>evamc@varenga.es</w:t>
        </w:r>
      </w:hyperlink>
    </w:p>
    <w:p w:rsidR="00411A0F" w:rsidRDefault="00411A0F" w14:paraId="441A4A66" w14:textId="77777777">
      <w:pPr>
        <w:spacing w:after="200" w:line="276" w:lineRule="auto"/>
        <w:rPr>
          <w:rFonts w:ascii="Roboto" w:hAnsi="Roboto" w:eastAsia="Roboto" w:cs="Roboto"/>
          <w:sz w:val="22"/>
          <w:szCs w:val="22"/>
        </w:rPr>
      </w:pPr>
    </w:p>
    <w:p w:rsidR="00411A0F" w:rsidRDefault="00411A0F" w14:paraId="441A4A67" w14:textId="77777777">
      <w:pPr>
        <w:rPr>
          <w:rFonts w:ascii="Calibri" w:hAnsi="Calibri" w:eastAsia="Calibri" w:cs="Calibri"/>
          <w:b/>
          <w:sz w:val="22"/>
          <w:szCs w:val="22"/>
          <w:u w:val="single"/>
        </w:rPr>
      </w:pPr>
    </w:p>
    <w:p w:rsidR="00411A0F" w:rsidRDefault="00411A0F" w14:paraId="441A4A68" w14:textId="77777777">
      <w:pPr>
        <w:jc w:val="both"/>
        <w:rPr>
          <w:rFonts w:ascii="Calibri" w:hAnsi="Calibri" w:eastAsia="Calibri" w:cs="Calibri"/>
          <w:b/>
          <w:sz w:val="22"/>
          <w:szCs w:val="22"/>
          <w:u w:val="single"/>
        </w:rPr>
      </w:pPr>
    </w:p>
    <w:p w:rsidR="00411A0F" w:rsidRDefault="00411A0F" w14:paraId="441A4A69" w14:textId="77777777">
      <w:pPr>
        <w:pBdr>
          <w:top w:val="nil"/>
          <w:left w:val="nil"/>
          <w:bottom w:val="nil"/>
          <w:right w:val="nil"/>
          <w:between w:val="nil"/>
        </w:pBdr>
        <w:rPr>
          <w:rFonts w:ascii="Calibri" w:hAnsi="Calibri" w:eastAsia="Calibri" w:cs="Calibri"/>
          <w:highlight w:val="white"/>
        </w:rPr>
      </w:pPr>
    </w:p>
    <w:sectPr w:rsidR="00411A0F">
      <w:headerReference w:type="default" r:id="rId15"/>
      <w:footerReference w:type="default" r:id="rId16"/>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FC6" w:rsidRDefault="00E85FC6" w14:paraId="0177A7FC" w14:textId="77777777">
      <w:r>
        <w:separator/>
      </w:r>
    </w:p>
  </w:endnote>
  <w:endnote w:type="continuationSeparator" w:id="0">
    <w:p w:rsidR="00E85FC6" w:rsidRDefault="00E85FC6" w14:paraId="114FA6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A0F" w:rsidRDefault="00000000" w14:paraId="441A4A71" w14:textId="3D460C4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A68D0">
      <w:rPr>
        <w:noProof/>
        <w:color w:val="000000"/>
      </w:rPr>
      <w:t>1</w:t>
    </w:r>
    <w:r>
      <w:rPr>
        <w:color w:val="000000"/>
      </w:rPr>
      <w:fldChar w:fldCharType="end"/>
    </w:r>
  </w:p>
  <w:p w:rsidR="00411A0F" w:rsidRDefault="00411A0F" w14:paraId="441A4A72" w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FC6" w:rsidRDefault="00E85FC6" w14:paraId="723DB79D" w14:textId="77777777">
      <w:r>
        <w:separator/>
      </w:r>
    </w:p>
  </w:footnote>
  <w:footnote w:type="continuationSeparator" w:id="0">
    <w:p w:rsidR="00E85FC6" w:rsidRDefault="00E85FC6" w14:paraId="2A7CA3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11A0F" w:rsidRDefault="00000000" w14:paraId="441A4A6E" w14:textId="77777777">
    <w:pPr>
      <w:ind w:left="-120"/>
      <w:jc w:val="both"/>
      <w:rPr>
        <w:rFonts w:ascii="Calibri" w:hAnsi="Calibri" w:eastAsia="Calibri" w:cs="Calibri"/>
        <w:b/>
        <w:sz w:val="40"/>
        <w:szCs w:val="40"/>
      </w:rPr>
    </w:pPr>
    <w:r>
      <w:rPr>
        <w:noProof/>
      </w:rPr>
      <w:drawing>
        <wp:anchor distT="114300" distB="114300" distL="114300" distR="114300" simplePos="0" relativeHeight="251658240" behindDoc="0" locked="0" layoutInCell="1" hidden="0" allowOverlap="1" wp14:anchorId="441A4A73" wp14:editId="441A4A74">
          <wp:simplePos x="0" y="0"/>
          <wp:positionH relativeFrom="column">
            <wp:posOffset>4114800</wp:posOffset>
          </wp:positionH>
          <wp:positionV relativeFrom="paragraph">
            <wp:posOffset>-304797</wp:posOffset>
          </wp:positionV>
          <wp:extent cx="1547842" cy="99726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rsidR="00411A0F" w:rsidRDefault="00000000" w14:paraId="441A4A6F" w14:textId="77777777">
    <w:pPr>
      <w:ind w:left="-120"/>
      <w:jc w:val="both"/>
      <w:rPr>
        <w:rFonts w:ascii="Nunito" w:hAnsi="Nunito" w:eastAsia="Nunito" w:cs="Nunito"/>
        <w:sz w:val="22"/>
        <w:szCs w:val="22"/>
      </w:rPr>
    </w:pPr>
    <w:r>
      <w:rPr>
        <w:rFonts w:ascii="Nunito" w:hAnsi="Nunito" w:eastAsia="Nunito" w:cs="Nunito"/>
        <w:b/>
        <w:sz w:val="40"/>
        <w:szCs w:val="40"/>
      </w:rPr>
      <w:t>NOTA DE PRENSA</w:t>
    </w:r>
    <w:r>
      <w:rPr>
        <w:rFonts w:ascii="Nunito" w:hAnsi="Nunito" w:eastAsia="Nunito" w:cs="Nunito"/>
        <w:sz w:val="22"/>
        <w:szCs w:val="22"/>
      </w:rPr>
      <w:t xml:space="preserve"> </w:t>
    </w:r>
  </w:p>
  <w:p w:rsidR="00411A0F" w:rsidRDefault="00411A0F" w14:paraId="441A4A70" w14:textId="777777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4D8D"/>
    <w:multiLevelType w:val="multilevel"/>
    <w:tmpl w:val="AECC620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9F7BEE"/>
    <w:multiLevelType w:val="multilevel"/>
    <w:tmpl w:val="4A80627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25062">
    <w:abstractNumId w:val="1"/>
  </w:num>
  <w:num w:numId="2" w16cid:durableId="46775014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0F"/>
    <w:rsid w:val="00000000"/>
    <w:rsid w:val="0035513F"/>
    <w:rsid w:val="00411A0F"/>
    <w:rsid w:val="008A6D90"/>
    <w:rsid w:val="009E1A8D"/>
    <w:rsid w:val="00B40547"/>
    <w:rsid w:val="00E85FC6"/>
    <w:rsid w:val="00EA68D0"/>
    <w:rsid w:val="2AE7D124"/>
    <w:rsid w:val="457F71CA"/>
    <w:rsid w:val="5B3DA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4A45"/>
  <w15:docId w15:val="{1FD7B980-03A2-477D-8D37-AC960DFC36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n">
    <w:name w:val="Revision"/>
    <w:hidden/>
    <w:uiPriority w:val="99"/>
    <w:semiHidden/>
    <w:rsid w:val="00EA6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nac.e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vamc@varenga.es" TargetMode="External" Id="rId14" /><Relationship Type="http://schemas.openxmlformats.org/officeDocument/2006/relationships/hyperlink" Target="https://www.mapa.gob.es/es/desarrollo-rural/temas/gestion-sostenible-regadios/centro-nacional-tecnologia-regadios/" TargetMode="External" Id="Re4cebbf17c674c4f"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ADA7F-F0C5-4209-908F-A6FAD055DCD5}">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2.xml><?xml version="1.0" encoding="utf-8"?>
<ds:datastoreItem xmlns:ds="http://schemas.openxmlformats.org/officeDocument/2006/customXml" ds:itemID="{1DE94CC4-BF2D-44B7-AD78-CD4C82E718A6}">
  <ds:schemaRefs>
    <ds:schemaRef ds:uri="http://schemas.microsoft.com/sharepoint/v3/contenttype/forms"/>
  </ds:schemaRefs>
</ds:datastoreItem>
</file>

<file path=customXml/itemProps3.xml><?xml version="1.0" encoding="utf-8"?>
<ds:datastoreItem xmlns:ds="http://schemas.openxmlformats.org/officeDocument/2006/customXml" ds:itemID="{E779D53E-E12C-4452-A3BA-2F0CB767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Eva Martín</lastModifiedBy>
  <revision>7</revision>
  <dcterms:created xsi:type="dcterms:W3CDTF">2023-03-13T08:21:00.0000000Z</dcterms:created>
  <dcterms:modified xsi:type="dcterms:W3CDTF">2023-03-13T09:03:35.9054312Z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