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D227AE" w:rsidRDefault="00D227AE" w14:paraId="672A6659" wp14:textId="77777777">
      <w:pPr>
        <w:rPr>
          <w:b/>
          <w:sz w:val="32"/>
          <w:szCs w:val="32"/>
        </w:rPr>
      </w:pPr>
    </w:p>
    <w:p xmlns:wp14="http://schemas.microsoft.com/office/word/2010/wordml" w:rsidR="00D227AE" w:rsidRDefault="009C7238" w14:paraId="19C31E11" wp14:textId="77777777">
      <w:pPr>
        <w:jc w:val="center"/>
        <w:rPr>
          <w:rFonts w:ascii="Roboto" w:hAnsi="Roboto" w:eastAsia="Roboto" w:cs="Roboto"/>
          <w:b/>
          <w:sz w:val="32"/>
          <w:szCs w:val="32"/>
        </w:rPr>
      </w:pPr>
      <w:r>
        <w:rPr>
          <w:rFonts w:ascii="Roboto" w:hAnsi="Roboto" w:eastAsia="Roboto" w:cs="Roboto"/>
          <w:b/>
          <w:sz w:val="32"/>
          <w:szCs w:val="32"/>
        </w:rPr>
        <w:t>ENAC concede las primeras acreditaciones en España para la cuantificación de células CAR-T, prueba esencial en el tratamiento de neoplasias hematológicas</w:t>
      </w:r>
    </w:p>
    <w:p xmlns:wp14="http://schemas.microsoft.com/office/word/2010/wordml" w:rsidR="00D227AE" w:rsidRDefault="00D227AE" w14:paraId="0A37501D" wp14:textId="77777777">
      <w:pPr>
        <w:jc w:val="center"/>
        <w:rPr>
          <w:rFonts w:ascii="Roboto" w:hAnsi="Roboto" w:eastAsia="Roboto" w:cs="Roboto"/>
          <w:b/>
          <w:sz w:val="9"/>
          <w:szCs w:val="9"/>
        </w:rPr>
      </w:pPr>
    </w:p>
    <w:p xmlns:wp14="http://schemas.microsoft.com/office/word/2010/wordml" w:rsidR="00D227AE" w:rsidRDefault="009C7238" w14:paraId="29D6B04F" wp14:textId="77777777">
      <w:pPr>
        <w:jc w:val="center"/>
        <w:rPr>
          <w:rFonts w:ascii="Roboto" w:hAnsi="Roboto" w:eastAsia="Roboto" w:cs="Roboto"/>
          <w:b/>
          <w:sz w:val="20"/>
          <w:szCs w:val="20"/>
        </w:rPr>
      </w:pPr>
      <w:r>
        <w:rPr>
          <w:rFonts w:ascii="Roboto" w:hAnsi="Roboto" w:eastAsia="Roboto" w:cs="Roboto"/>
          <w:b/>
          <w:sz w:val="20"/>
          <w:szCs w:val="20"/>
        </w:rPr>
        <w:t xml:space="preserve"> </w:t>
      </w:r>
    </w:p>
    <w:p xmlns:wp14="http://schemas.microsoft.com/office/word/2010/wordml" w:rsidR="00D227AE" w:rsidRDefault="009C7238" w14:paraId="0FAFEA91" wp14:textId="77777777">
      <w:pPr>
        <w:numPr>
          <w:ilvl w:val="0"/>
          <w:numId w:val="1"/>
        </w:numPr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sz w:val="22"/>
          <w:szCs w:val="22"/>
        </w:rPr>
        <w:t>El Hospital Universitario del Niño Jesús, en Madrid y el Hospital Universitario Virgen de la Arrixaca, en Murcia, primeros acreditados según la norma ISO 15189 para la realización de esta prueba</w:t>
      </w:r>
    </w:p>
    <w:p xmlns:wp14="http://schemas.microsoft.com/office/word/2010/wordml" w:rsidR="00D227AE" w:rsidRDefault="00D227AE" w14:paraId="5DAB6C7B" wp14:textId="77777777">
      <w:pPr>
        <w:ind w:left="720"/>
        <w:jc w:val="both"/>
        <w:rPr>
          <w:rFonts w:ascii="Roboto" w:hAnsi="Roboto" w:eastAsia="Roboto" w:cs="Roboto"/>
          <w:b/>
          <w:sz w:val="22"/>
          <w:szCs w:val="22"/>
        </w:rPr>
      </w:pPr>
    </w:p>
    <w:p w:rsidR="524D8ED9" w:rsidP="198B0AA3" w:rsidRDefault="524D8ED9" w14:paraId="56921EEE" w14:textId="559FB66A">
      <w:pPr>
        <w:spacing w:before="0" w:beforeAutospacing="off" w:after="0" w:afterAutospacing="off"/>
        <w:jc w:val="both"/>
      </w:pPr>
      <w:r w:rsidRPr="198B0AA3" w:rsidR="524D8ED9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 xml:space="preserve">Madrid, 23 de julio de 2025.- La </w:t>
      </w:r>
      <w:hyperlink r:id="R32a9ff36aa504600">
        <w:r w:rsidRPr="198B0AA3" w:rsidR="524D8ED9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s-ES"/>
          </w:rPr>
          <w:t>Entidad Nacional de Acreditación</w:t>
        </w:r>
      </w:hyperlink>
      <w:r w:rsidRPr="198B0AA3" w:rsidR="524D8ED9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 xml:space="preserve"> (ENAC) ha otorgado al </w:t>
      </w:r>
      <w:r w:rsidRPr="198B0AA3" w:rsidR="524D8ED9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>Hospital Universitario del Niño Jesús (Madrid)</w:t>
      </w:r>
      <w:r w:rsidRPr="198B0AA3" w:rsidR="524D8ED9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 xml:space="preserve"> y al</w:t>
      </w:r>
      <w:r w:rsidRPr="198B0AA3" w:rsidR="524D8ED9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 xml:space="preserve"> Hospital Universitario Virgen de la Arrixaca (Murcia), </w:t>
      </w:r>
      <w:r w:rsidRPr="198B0AA3" w:rsidR="524D8ED9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>las primeras acreditaciones en España, conforme a la norma UNE-EN ISO 15189 para la realización de la prueba de cuantificación de células CAR-T. Esta prueba es fundamental en el seguimiento de pacientes con neoplasias oncohematológicas tratados con terapia CAR-T.</w:t>
      </w:r>
    </w:p>
    <w:p w:rsidR="198B0AA3" w:rsidP="198B0AA3" w:rsidRDefault="198B0AA3" w14:paraId="7AC2F5C0" w14:textId="6E2DBC83">
      <w:pPr>
        <w:jc w:val="both"/>
      </w:pPr>
    </w:p>
    <w:p xmlns:wp14="http://schemas.microsoft.com/office/word/2010/wordml" w:rsidR="00D227AE" w:rsidRDefault="009C7238" w14:paraId="0E3CA4C2" wp14:textId="77777777">
      <w:pPr>
        <w:spacing w:after="16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La terapia CAR-T, o “terapia con células T con receptor de antígeno quimérico”, </w:t>
      </w:r>
      <w:r>
        <w:rPr>
          <w:rFonts w:ascii="Roboto" w:hAnsi="Roboto" w:eastAsia="Roboto" w:cs="Roboto"/>
          <w:b/>
        </w:rPr>
        <w:t>se basa en la recolección de linfocitos T del propio paciente</w:t>
      </w:r>
      <w:r>
        <w:rPr>
          <w:rFonts w:ascii="Roboto" w:hAnsi="Roboto" w:eastAsia="Roboto" w:cs="Roboto"/>
        </w:rPr>
        <w:t>, que posteriormente son cultivados y modificados genéticamente para expresar un receptor quimérico (CAR) capaz de reconocer antígenos específicos en las células tumorales. Una vez infundidas de nuevo en el paciente, estas células modificadas identifican y destruyen las células cancerosas.</w:t>
      </w:r>
    </w:p>
    <w:p xmlns:wp14="http://schemas.microsoft.com/office/word/2010/wordml" w:rsidR="00D227AE" w:rsidP="198B0AA3" w:rsidRDefault="009C7238" w14:paraId="27F2A2B7" wp14:textId="77777777">
      <w:pPr>
        <w:spacing w:after="160"/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198B0AA3" w:rsidR="009C7238">
        <w:rPr>
          <w:rFonts w:ascii="Roboto" w:hAnsi="Roboto" w:eastAsia="Roboto" w:cs="Roboto"/>
          <w:lang w:val="es-ES"/>
        </w:rPr>
        <w:t>La cuantificación de células CAR-T puede realizarse mediante técnicas como la PCR cuantitativa en tiempo real (</w:t>
      </w:r>
      <w:r w:rsidRPr="198B0AA3" w:rsidR="009C7238">
        <w:rPr>
          <w:rFonts w:ascii="Roboto" w:hAnsi="Roboto" w:eastAsia="Roboto" w:cs="Roboto"/>
          <w:lang w:val="es-ES"/>
        </w:rPr>
        <w:t>qPCR</w:t>
      </w:r>
      <w:r w:rsidRPr="198B0AA3" w:rsidR="009C7238">
        <w:rPr>
          <w:rFonts w:ascii="Roboto" w:hAnsi="Roboto" w:eastAsia="Roboto" w:cs="Roboto"/>
          <w:lang w:val="es-ES"/>
        </w:rPr>
        <w:t xml:space="preserve">) o la citometría de flujo. El Hospital Niño Jesús fue el primero en recibir esta acreditación en 2024 por la realización de la prueba mediante </w:t>
      </w:r>
      <w:r w:rsidRPr="198B0AA3" w:rsidR="009C7238">
        <w:rPr>
          <w:rFonts w:ascii="Roboto" w:hAnsi="Roboto" w:eastAsia="Roboto" w:cs="Roboto"/>
          <w:lang w:val="es-ES"/>
        </w:rPr>
        <w:t>qPCR</w:t>
      </w:r>
      <w:r w:rsidRPr="198B0AA3" w:rsidR="009C7238">
        <w:rPr>
          <w:rFonts w:ascii="Roboto" w:hAnsi="Roboto" w:eastAsia="Roboto" w:cs="Roboto"/>
          <w:lang w:val="es-ES"/>
        </w:rPr>
        <w:t>. A esta se suma ahora la reciente acreditación del Hospital Universitario Virgen de la Arrixaca, que lleva a cabo la prueba mediante citometría de flujo.</w:t>
      </w:r>
    </w:p>
    <w:p xmlns:wp14="http://schemas.microsoft.com/office/word/2010/wordml" w:rsidR="00D227AE" w:rsidRDefault="00D227AE" w14:paraId="6A05A809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</w:rPr>
      </w:pPr>
    </w:p>
    <w:p xmlns:wp14="http://schemas.microsoft.com/office/word/2010/wordml" w:rsidR="00D227AE" w:rsidRDefault="009C7238" w14:paraId="669D746A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color w:val="E83544"/>
        </w:rPr>
      </w:pPr>
      <w:r>
        <w:rPr>
          <w:rFonts w:ascii="Roboto" w:hAnsi="Roboto" w:eastAsia="Roboto" w:cs="Roboto"/>
          <w:b/>
          <w:color w:val="E83544"/>
        </w:rPr>
        <w:t>Sobre ENAC y el sector sanitario</w:t>
      </w:r>
      <w:r>
        <w:rPr>
          <w:rFonts w:ascii="Roboto" w:hAnsi="Roboto" w:eastAsia="Roboto" w:cs="Roboto"/>
          <w:color w:val="E83544"/>
        </w:rPr>
        <w:t xml:space="preserve"> </w:t>
      </w:r>
    </w:p>
    <w:p xmlns:wp14="http://schemas.microsoft.com/office/word/2010/wordml" w:rsidR="00D227AE" w:rsidRDefault="009C7238" w14:paraId="0A6959E7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color w:val="E83544"/>
        </w:rPr>
      </w:pPr>
      <w:r>
        <w:rPr>
          <w:rFonts w:ascii="Roboto" w:hAnsi="Roboto" w:eastAsia="Roboto" w:cs="Roboto"/>
          <w:color w:val="E83544"/>
        </w:rPr>
        <w:t xml:space="preserve"> </w:t>
      </w:r>
    </w:p>
    <w:p xmlns:wp14="http://schemas.microsoft.com/office/word/2010/wordml" w:rsidR="00D227AE" w:rsidRDefault="009C7238" w14:paraId="0200D0F3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 w:line="259" w:lineRule="auto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La calidad y la seguridad son dos elementos fundamentales para garantizar un sistema sanitario acorde con las necesidades actuales. La acreditación de ENAC proporciona</w:t>
      </w:r>
      <w:r>
        <w:rPr>
          <w:rFonts w:ascii="Roboto" w:hAnsi="Roboto" w:eastAsia="Roboto" w:cs="Roboto"/>
          <w:b/>
        </w:rPr>
        <w:t xml:space="preserve"> </w:t>
      </w:r>
      <w:r>
        <w:rPr>
          <w:rFonts w:ascii="Roboto" w:hAnsi="Roboto" w:eastAsia="Roboto" w:cs="Roboto"/>
        </w:rPr>
        <w:t xml:space="preserve">confianza en los diferentes ámbitos y etapas de la prestación de los servicios siendo un sector en el que cada vez se hace más uso de la acreditación como instrumento de seguridad y control.   </w:t>
      </w:r>
    </w:p>
    <w:p xmlns:wp14="http://schemas.microsoft.com/office/word/2010/wordml" w:rsidR="00D227AE" w:rsidRDefault="00D227AE" w14:paraId="5A39BBE3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 w:line="259" w:lineRule="auto"/>
        <w:jc w:val="both"/>
        <w:rPr>
          <w:rFonts w:ascii="Roboto" w:hAnsi="Roboto" w:eastAsia="Roboto" w:cs="Roboto"/>
        </w:rPr>
      </w:pPr>
    </w:p>
    <w:p xmlns:wp14="http://schemas.microsoft.com/office/word/2010/wordml" w:rsidR="00D227AE" w:rsidRDefault="00D227AE" w14:paraId="41C8F396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 w:line="259" w:lineRule="auto"/>
        <w:jc w:val="both"/>
        <w:rPr>
          <w:rFonts w:ascii="Roboto" w:hAnsi="Roboto" w:eastAsia="Roboto" w:cs="Roboto"/>
        </w:rPr>
      </w:pPr>
    </w:p>
    <w:p xmlns:wp14="http://schemas.microsoft.com/office/word/2010/wordml" w:rsidR="00D227AE" w:rsidRDefault="00D227AE" w14:paraId="72A3D3E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 w:line="259" w:lineRule="auto"/>
        <w:jc w:val="both"/>
        <w:rPr>
          <w:rFonts w:ascii="Roboto" w:hAnsi="Roboto" w:eastAsia="Roboto" w:cs="Roboto"/>
        </w:rPr>
      </w:pPr>
    </w:p>
    <w:p xmlns:wp14="http://schemas.microsoft.com/office/word/2010/wordml" w:rsidR="00D227AE" w:rsidRDefault="00D227AE" w14:paraId="0D0B940D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 w:line="259" w:lineRule="auto"/>
        <w:jc w:val="both"/>
        <w:rPr>
          <w:rFonts w:ascii="Roboto" w:hAnsi="Roboto" w:eastAsia="Roboto" w:cs="Roboto"/>
        </w:rPr>
      </w:pPr>
    </w:p>
    <w:p xmlns:wp14="http://schemas.microsoft.com/office/word/2010/wordml" w:rsidR="00D227AE" w:rsidRDefault="00D227AE" w14:paraId="0E27B00A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 w:line="259" w:lineRule="auto"/>
        <w:jc w:val="both"/>
        <w:rPr>
          <w:rFonts w:ascii="Roboto" w:hAnsi="Roboto" w:eastAsia="Roboto" w:cs="Roboto"/>
        </w:rPr>
      </w:pPr>
    </w:p>
    <w:p xmlns:wp14="http://schemas.microsoft.com/office/word/2010/wordml" w:rsidR="00D227AE" w:rsidRDefault="009C7238" w14:paraId="04DEBB26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 w:line="259" w:lineRule="auto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La Entidad Nacional de Acreditación – ENAC – es la entidad designada por el Gobierno para operar en España como el único Organismo Nacional de Acreditación, en aplicación del Reglamento (CE) nº765/2008 del Parlamento Europeo que regula el funcionamiento de la acreditación en Europa.  </w:t>
      </w:r>
    </w:p>
    <w:p xmlns:wp14="http://schemas.microsoft.com/office/word/2010/wordml" w:rsidR="00D227AE" w:rsidRDefault="009C7238" w14:paraId="64A09F95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 w:line="259" w:lineRule="auto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ENAC ha acreditado a laboratorios de muy diversas especialidades (inmunología, bioquímica, genética, microbiología, hematología, anatomía patológica) y de diferentes niveles de especialización, desde centros nacionales de referencia a laboratorios hospitalarios de rutina y de urgencias, tanto públicos como privados.   </w:t>
      </w:r>
    </w:p>
    <w:p xmlns:wp14="http://schemas.microsoft.com/office/word/2010/wordml" w:rsidR="00D227AE" w:rsidRDefault="009C7238" w14:paraId="11826AC5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 w:line="259" w:lineRule="auto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La acreditación es la herramienta que proporciona confianza a los pacientes, prescriptores y gestores de servicios sanitarios y sociosanitarios de que los laboratorios clínicos han demostrado su competencia al superar un proceso de evaluación independiente y conforme a normas reconocidas internacionalmente. La norma UNE-EN ISO 15189 es el estándar especialmente enfocado al paciente como eje central de la actividad del laboratorio clínico.  </w:t>
      </w:r>
    </w:p>
    <w:p xmlns:wp14="http://schemas.microsoft.com/office/word/2010/wordml" w:rsidR="00D227AE" w:rsidRDefault="009C7238" w14:paraId="72ADE443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</w:rPr>
      </w:pPr>
      <w:hyperlink r:id="rId12">
        <w:r>
          <w:rPr>
            <w:rFonts w:ascii="Roboto" w:hAnsi="Roboto" w:eastAsia="Roboto" w:cs="Roboto"/>
            <w:color w:val="E83544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</w:rPr>
        <w:t xml:space="preserve"> </w:t>
      </w:r>
    </w:p>
    <w:p xmlns:wp14="http://schemas.microsoft.com/office/word/2010/wordml" w:rsidR="00D227AE" w:rsidRDefault="00D227AE" w14:paraId="60061E4C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</w:rPr>
      </w:pPr>
    </w:p>
    <w:p xmlns:wp14="http://schemas.microsoft.com/office/word/2010/wordml" w:rsidR="00D227AE" w:rsidRDefault="009C7238" w14:paraId="0DFAE634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  <w:color w:val="0000FF"/>
        </w:rPr>
        <w:t xml:space="preserve"> </w:t>
      </w:r>
      <w:r>
        <w:rPr>
          <w:rFonts w:ascii="Roboto" w:hAnsi="Roboto" w:eastAsia="Roboto" w:cs="Roboto"/>
          <w:noProof/>
          <w:color w:val="0000FF"/>
        </w:rPr>
        <w:drawing>
          <wp:inline xmlns:wp14="http://schemas.microsoft.com/office/word/2010/wordprocessingDrawing" distT="114300" distB="114300" distL="114300" distR="114300" wp14:anchorId="706454D1" wp14:editId="7777777">
            <wp:extent cx="297039" cy="297039"/>
            <wp:effectExtent l="0" t="0" r="0" b="0"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FF"/>
        </w:rPr>
        <w:t xml:space="preserve"> </w:t>
      </w:r>
      <w:r>
        <w:rPr>
          <w:rFonts w:ascii="Roboto" w:hAnsi="Roboto" w:eastAsia="Roboto" w:cs="Roboto"/>
          <w:noProof/>
          <w:color w:val="0000FF"/>
        </w:rPr>
        <w:drawing>
          <wp:inline xmlns:wp14="http://schemas.microsoft.com/office/word/2010/wordprocessingDrawing" distT="0" distB="0" distL="0" distR="0" wp14:anchorId="78CB72A4" wp14:editId="7777777">
            <wp:extent cx="304800" cy="304800"/>
            <wp:effectExtent l="0" t="0" r="0" b="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D227AE" w:rsidRDefault="00D227AE" w14:paraId="44EAFD9C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</w:rPr>
      </w:pPr>
    </w:p>
    <w:p xmlns:wp14="http://schemas.microsoft.com/office/word/2010/wordml" w:rsidR="00D227AE" w:rsidRDefault="00D227AE" w14:paraId="4B94D5A5" wp14:textId="77777777">
      <w:pPr>
        <w:jc w:val="both"/>
        <w:rPr>
          <w:rFonts w:ascii="Roboto" w:hAnsi="Roboto" w:eastAsia="Roboto" w:cs="Roboto"/>
          <w:color w:val="E83544"/>
        </w:rPr>
      </w:pPr>
    </w:p>
    <w:p xmlns:wp14="http://schemas.microsoft.com/office/word/2010/wordml" w:rsidR="00D227AE" w:rsidRDefault="009C7238" w14:paraId="70AF4A84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Para más información sobre la nota de prensa, resolver dudas o gestionar entrevistas</w:t>
      </w:r>
    </w:p>
    <w:p xmlns:wp14="http://schemas.microsoft.com/office/word/2010/wordml" w:rsidR="00D227AE" w:rsidRDefault="009C7238" w14:paraId="527B165C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Eva Martín</w:t>
      </w:r>
    </w:p>
    <w:p xmlns:wp14="http://schemas.microsoft.com/office/word/2010/wordml" w:rsidR="00D227AE" w:rsidRDefault="009C7238" w14:paraId="0B05E5D0" wp14:textId="77777777">
      <w:pPr>
        <w:jc w:val="both"/>
        <w:rPr>
          <w:rFonts w:ascii="Calibri" w:hAnsi="Calibri" w:eastAsia="Calibri" w:cs="Calibri"/>
          <w:sz w:val="26"/>
          <w:szCs w:val="26"/>
          <w:highlight w:val="white"/>
        </w:rPr>
      </w:pPr>
      <w:r>
        <w:rPr>
          <w:rFonts w:ascii="Roboto" w:hAnsi="Roboto" w:eastAsia="Roboto" w:cs="Roboto"/>
        </w:rPr>
        <w:t xml:space="preserve">Tfno. 628 17 49 01 / </w:t>
      </w:r>
      <w:r>
        <w:rPr>
          <w:rFonts w:ascii="Roboto" w:hAnsi="Roboto" w:eastAsia="Roboto" w:cs="Roboto"/>
          <w:color w:val="E83544"/>
        </w:rPr>
        <w:t xml:space="preserve"> </w:t>
      </w:r>
      <w:hyperlink r:id="rId15">
        <w:r>
          <w:rPr>
            <w:rFonts w:ascii="Roboto" w:hAnsi="Roboto" w:eastAsia="Roboto" w:cs="Roboto"/>
            <w:color w:val="E83544"/>
            <w:u w:val="single"/>
          </w:rPr>
          <w:t>evamc@varenga.es</w:t>
        </w:r>
      </w:hyperlink>
    </w:p>
    <w:sectPr w:rsidR="00D227A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9C7238" w:rsidRDefault="009C7238" w14:paraId="62486C05" wp14:textId="77777777">
      <w:r>
        <w:separator/>
      </w:r>
    </w:p>
  </w:endnote>
  <w:endnote w:type="continuationSeparator" w:id="0">
    <w:p xmlns:wp14="http://schemas.microsoft.com/office/word/2010/wordml" w:rsidR="009C7238" w:rsidRDefault="009C7238" w14:paraId="4101652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B0FA62BC-BC4A-4D2C-BFE7-2BD4FD92E402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97C6347-D98C-4A9D-AC62-8809E172B162}" r:id="rId2"/>
    <w:embedItalic w:fontKey="{CD5711A6-DFF4-4752-B9A0-D17EDEBDD82D}" r:id="rId3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FEFA9BB8-A490-4CFB-A1AE-D05BBE3E1B6F}" r:id="rId4"/>
    <w:embedBold w:fontKey="{B91FC34D-BB18-4BF4-A07B-0B935A27BFC4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81B4C45-3D5D-427A-A9EA-7AB1A53880EB}" r:id="rId6"/>
    <w:embedBold w:fontKey="{036CA347-DDD7-4B4C-9ABE-E9CF8F327606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90092C9-CF46-434E-913B-5D38CB038240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227AE" w:rsidRDefault="00D227AE" w14:paraId="3DEEC669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227AE" w:rsidRDefault="009C7238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D227AE" w:rsidRDefault="00D227AE" w14:paraId="4B99056E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227AE" w:rsidRDefault="00D227AE" w14:paraId="3656B9AB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9C7238" w:rsidRDefault="009C7238" w14:paraId="1299C43A" wp14:textId="77777777">
      <w:r>
        <w:separator/>
      </w:r>
    </w:p>
  </w:footnote>
  <w:footnote w:type="continuationSeparator" w:id="0">
    <w:p xmlns:wp14="http://schemas.microsoft.com/office/word/2010/wordml" w:rsidR="009C7238" w:rsidRDefault="009C7238" w14:paraId="4DDBEF00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227AE" w:rsidRDefault="00D227AE" w14:paraId="049F31CB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D227AE" w:rsidRDefault="009C7238" w14:paraId="45E8A0DF" wp14:textId="77777777">
    <w:pPr>
      <w:ind w:left="-120"/>
      <w:jc w:val="both"/>
      <w:rPr>
        <w:rFonts w:ascii="Calibri" w:hAnsi="Calibri" w:eastAsia="Calibri" w:cs="Calibri"/>
        <w:b/>
        <w:sz w:val="40"/>
        <w:szCs w:val="40"/>
      </w:rPr>
    </w:pP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66F15B4A" wp14:editId="7777777">
          <wp:simplePos x="0" y="0"/>
          <wp:positionH relativeFrom="column">
            <wp:posOffset>4114800</wp:posOffset>
          </wp:positionH>
          <wp:positionV relativeFrom="paragraph">
            <wp:posOffset>-304773</wp:posOffset>
          </wp:positionV>
          <wp:extent cx="1547842" cy="997267"/>
          <wp:effectExtent l="0" t="0" r="0" b="0"/>
          <wp:wrapSquare wrapText="bothSides" distT="114300" distB="114300" distL="114300" distR="114300"/>
          <wp:docPr id="3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D227AE" w:rsidRDefault="009C7238" w14:paraId="12ECC7C7" wp14:textId="77777777">
    <w:pPr>
      <w:ind w:left="-120"/>
      <w:jc w:val="both"/>
      <w:rPr>
        <w:rFonts w:ascii="Roboto" w:hAnsi="Roboto" w:eastAsia="Roboto" w:cs="Roboto"/>
        <w:sz w:val="22"/>
        <w:szCs w:val="22"/>
      </w:rPr>
    </w:pPr>
    <w:r>
      <w:rPr>
        <w:rFonts w:ascii="Roboto" w:hAnsi="Roboto" w:eastAsia="Roboto" w:cs="Roboto"/>
        <w:b/>
        <w:sz w:val="40"/>
        <w:szCs w:val="40"/>
      </w:rPr>
      <w:t>NOTA DE PRENSA</w:t>
    </w:r>
    <w:r>
      <w:rPr>
        <w:rFonts w:ascii="Roboto" w:hAnsi="Roboto" w:eastAsia="Roboto" w:cs="Roboto"/>
        <w:sz w:val="22"/>
        <w:szCs w:val="22"/>
      </w:rPr>
      <w:t xml:space="preserve"> </w:t>
    </w:r>
  </w:p>
  <w:p xmlns:wp14="http://schemas.microsoft.com/office/word/2010/wordml" w:rsidR="00D227AE" w:rsidRDefault="00D227AE" w14:paraId="45FB0818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227AE" w:rsidRDefault="00D227AE" w14:paraId="53128261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500B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8215529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7AE"/>
    <w:rsid w:val="00332D30"/>
    <w:rsid w:val="009C7238"/>
    <w:rsid w:val="00D227AE"/>
    <w:rsid w:val="198B0AA3"/>
    <w:rsid w:val="524D8ED9"/>
    <w:rsid w:val="6460D4CB"/>
    <w:rsid w:val="6F43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1FBDCA"/>
  <w15:docId w15:val="{F253783A-6791-4379-9548-8F7C3E1368C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9" w:customStyle="1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uiPriority w:val="99"/>
    <w:name w:val="Hyperlink"/>
    <w:basedOn w:val="Fuentedeprrafopredeter"/>
    <w:unhideWhenUsed/>
    <w:rsid w:val="198B0A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oter" Target="footer3.xml" Id="rId21" /><Relationship Type="http://schemas.openxmlformats.org/officeDocument/2006/relationships/settings" Target="settings.xml" Id="rId7" /><Relationship Type="http://schemas.openxmlformats.org/officeDocument/2006/relationships/hyperlink" Target="http://www.enac.es" TargetMode="Externa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header" Target="head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yperlink" Target="mailto:evamc@varenga.es" TargetMode="External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fontTable" Target="fontTable.xml" Id="rId22" /><Relationship Type="http://schemas.openxmlformats.org/officeDocument/2006/relationships/hyperlink" Target="https://www.enac.es/" TargetMode="External" Id="R32a9ff36aa50460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rW8tVCCNi5RNhlsKAswELs8Pxg==">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1CD34C-B646-46B3-ACC6-5C72DC9C6277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6B443FAC-4255-4C4D-B88C-5F18396997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6BF8B9-A738-4EAC-8B88-1DE26C236A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Eva Martín</lastModifiedBy>
  <revision>2</revision>
  <dcterms:created xsi:type="dcterms:W3CDTF">2025-07-23T06:32:00.0000000Z</dcterms:created>
  <dcterms:modified xsi:type="dcterms:W3CDTF">2025-07-23T06:33:23.5697840Z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0x0101009152DE15686E4843A3780C010A78B13A</vt:lpwstr>
  </property>
</Properties>
</file>