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C54546" w:rsidRDefault="00C54546" w14:paraId="00000001" w14:textId="77777777">
      <w:pPr>
        <w:jc w:val="center"/>
        <w:rPr>
          <w:rFonts w:ascii="Roboto" w:hAnsi="Roboto" w:eastAsia="Roboto" w:cs="Roboto"/>
        </w:rPr>
      </w:pPr>
    </w:p>
    <w:p w:rsidR="00C54546" w:rsidRDefault="0045491F" w14:paraId="00000002" w14:textId="77777777">
      <w:pPr>
        <w:jc w:val="center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 </w:t>
      </w:r>
    </w:p>
    <w:p w:rsidR="00C54546" w:rsidRDefault="0045491F" w14:paraId="00000003" w14:textId="77777777">
      <w:pPr>
        <w:jc w:val="center"/>
        <w:rPr>
          <w:rFonts w:ascii="Roboto" w:hAnsi="Roboto" w:eastAsia="Roboto" w:cs="Roboto"/>
          <w:b/>
          <w:sz w:val="28"/>
          <w:szCs w:val="28"/>
        </w:rPr>
      </w:pPr>
      <w:proofErr w:type="spellStart"/>
      <w:r>
        <w:rPr>
          <w:rFonts w:ascii="Roboto" w:hAnsi="Roboto" w:eastAsia="Roboto" w:cs="Roboto"/>
          <w:b/>
          <w:sz w:val="28"/>
          <w:szCs w:val="28"/>
        </w:rPr>
        <w:t>Celgene</w:t>
      </w:r>
      <w:proofErr w:type="spellEnd"/>
      <w:r>
        <w:rPr>
          <w:rFonts w:ascii="Roboto" w:hAnsi="Roboto" w:eastAsia="Roboto" w:cs="Roboto"/>
          <w:b/>
          <w:sz w:val="28"/>
          <w:szCs w:val="28"/>
        </w:rPr>
        <w:t xml:space="preserve"> </w:t>
      </w:r>
      <w:proofErr w:type="spellStart"/>
      <w:r>
        <w:rPr>
          <w:rFonts w:ascii="Roboto" w:hAnsi="Roboto" w:eastAsia="Roboto" w:cs="Roboto"/>
          <w:b/>
          <w:sz w:val="28"/>
          <w:szCs w:val="28"/>
        </w:rPr>
        <w:t>Research</w:t>
      </w:r>
      <w:proofErr w:type="spellEnd"/>
      <w:r>
        <w:rPr>
          <w:rFonts w:ascii="Roboto" w:hAnsi="Roboto" w:eastAsia="Roboto" w:cs="Roboto"/>
          <w:b/>
          <w:sz w:val="28"/>
          <w:szCs w:val="28"/>
        </w:rPr>
        <w:t xml:space="preserve"> confía en la acreditación de ENAC para aportar las máximas garantías a sus ensayos de farmacodinámica</w:t>
      </w:r>
    </w:p>
    <w:p w:rsidR="00C54546" w:rsidRDefault="00C54546" w14:paraId="00000004" w14:textId="77777777">
      <w:pPr>
        <w:jc w:val="center"/>
        <w:rPr>
          <w:rFonts w:ascii="Roboto" w:hAnsi="Roboto" w:eastAsia="Roboto" w:cs="Roboto"/>
          <w:b/>
          <w:sz w:val="30"/>
          <w:szCs w:val="30"/>
        </w:rPr>
      </w:pPr>
    </w:p>
    <w:p w:rsidR="00C54546" w:rsidP="4E915C5E" w:rsidRDefault="0045491F" w14:paraId="00000005" w14:textId="508A9701">
      <w:pPr>
        <w:numPr>
          <w:ilvl w:val="0"/>
          <w:numId w:val="1"/>
        </w:numPr>
        <w:shd w:val="clear" w:color="auto" w:fill="FFFFFF" w:themeFill="background1"/>
        <w:spacing w:after="160"/>
        <w:jc w:val="both"/>
        <w:rPr>
          <w:rFonts w:ascii="Roboto" w:hAnsi="Roboto" w:eastAsia="Roboto" w:cs="Roboto"/>
          <w:b w:val="1"/>
          <w:bCs w:val="1"/>
          <w:sz w:val="20"/>
          <w:szCs w:val="20"/>
        </w:rPr>
      </w:pPr>
      <w:r w:rsidRPr="4E915C5E" w:rsidR="0045491F">
        <w:rPr>
          <w:rFonts w:ascii="Roboto" w:hAnsi="Roboto" w:eastAsia="Roboto" w:cs="Roboto"/>
          <w:b w:val="1"/>
          <w:bCs w:val="1"/>
          <w:sz w:val="20"/>
          <w:szCs w:val="20"/>
        </w:rPr>
        <w:t xml:space="preserve">“Disponer de un laboratorio interno acreditado nos aporta la tranquilidad de saber que el desarrollo de un fármaco va a estar basado en resultados fiables, robustos y reproducibles”, </w:t>
      </w:r>
      <w:r w:rsidRPr="4E915C5E" w:rsidR="0045491F">
        <w:rPr>
          <w:rFonts w:ascii="Roboto" w:hAnsi="Roboto" w:eastAsia="Roboto" w:cs="Roboto"/>
          <w:b w:val="1"/>
          <w:bCs w:val="1"/>
          <w:color w:val="333333"/>
          <w:sz w:val="20"/>
          <w:szCs w:val="20"/>
        </w:rPr>
        <w:t xml:space="preserve">Débora Pons, responsable de </w:t>
      </w:r>
      <w:r w:rsidRPr="4E915C5E" w:rsidR="0045491F">
        <w:rPr>
          <w:rFonts w:ascii="Roboto" w:hAnsi="Roboto" w:eastAsia="Roboto" w:cs="Roboto"/>
          <w:b w:val="1"/>
          <w:bCs w:val="1"/>
          <w:color w:val="333333"/>
          <w:sz w:val="20"/>
          <w:szCs w:val="20"/>
        </w:rPr>
        <w:t xml:space="preserve">calidad </w:t>
      </w:r>
      <w:proofErr w:type="spellStart"/>
      <w:r w:rsidRPr="4E915C5E" w:rsidR="0045491F">
        <w:rPr>
          <w:rFonts w:ascii="Roboto" w:hAnsi="Roboto" w:eastAsia="Roboto" w:cs="Roboto"/>
          <w:b w:val="1"/>
          <w:bCs w:val="1"/>
          <w:color w:val="333333"/>
          <w:sz w:val="20"/>
          <w:szCs w:val="20"/>
        </w:rPr>
        <w:t>Celgene</w:t>
      </w:r>
      <w:proofErr w:type="spellEnd"/>
      <w:r w:rsidRPr="4E915C5E" w:rsidR="0045491F">
        <w:rPr>
          <w:rFonts w:ascii="Roboto" w:hAnsi="Roboto" w:eastAsia="Roboto" w:cs="Roboto"/>
          <w:b w:val="1"/>
          <w:bCs w:val="1"/>
          <w:sz w:val="20"/>
          <w:szCs w:val="20"/>
        </w:rPr>
        <w:t xml:space="preserve"> </w:t>
      </w:r>
      <w:proofErr w:type="spellStart"/>
      <w:r w:rsidRPr="4E915C5E" w:rsidR="0045491F">
        <w:rPr>
          <w:rFonts w:ascii="Roboto" w:hAnsi="Roboto" w:eastAsia="Roboto" w:cs="Roboto"/>
          <w:b w:val="1"/>
          <w:bCs w:val="1"/>
          <w:sz w:val="20"/>
          <w:szCs w:val="20"/>
        </w:rPr>
        <w:t>Research</w:t>
      </w:r>
      <w:proofErr w:type="spellEnd"/>
    </w:p>
    <w:p w:rsidR="00C54546" w:rsidRDefault="0045491F" w14:paraId="00000006" w14:textId="77777777">
      <w:pPr>
        <w:numPr>
          <w:ilvl w:val="0"/>
          <w:numId w:val="1"/>
        </w:numPr>
        <w:shd w:val="clear" w:color="auto" w:fill="FFFFFF"/>
        <w:jc w:val="both"/>
        <w:rPr>
          <w:rFonts w:ascii="Roboto" w:hAnsi="Roboto" w:eastAsia="Roboto" w:cs="Roboto"/>
          <w:b/>
          <w:sz w:val="20"/>
          <w:szCs w:val="20"/>
        </w:rPr>
      </w:pPr>
      <w:r>
        <w:rPr>
          <w:rFonts w:ascii="Roboto" w:hAnsi="Roboto" w:eastAsia="Roboto" w:cs="Roboto"/>
          <w:b/>
          <w:color w:val="333333"/>
          <w:sz w:val="20"/>
          <w:szCs w:val="20"/>
        </w:rPr>
        <w:t>Estos ensayos se engloban en</w:t>
      </w:r>
      <w:r>
        <w:rPr>
          <w:rFonts w:ascii="Roboto" w:hAnsi="Roboto" w:eastAsia="Roboto" w:cs="Roboto"/>
          <w:b/>
          <w:color w:val="333333"/>
          <w:sz w:val="20"/>
          <w:szCs w:val="20"/>
        </w:rPr>
        <w:t xml:space="preserve"> el ámbito de la farmacodinámica, es decir, cómo afectan los fármacos al organismo del paciente</w:t>
      </w:r>
    </w:p>
    <w:p w:rsidR="00C54546" w:rsidRDefault="00C54546" w14:paraId="00000007" w14:textId="77777777">
      <w:pPr>
        <w:ind w:left="720"/>
        <w:jc w:val="both"/>
        <w:rPr>
          <w:rFonts w:ascii="Roboto" w:hAnsi="Roboto" w:eastAsia="Roboto" w:cs="Roboto"/>
          <w:b/>
          <w:sz w:val="20"/>
          <w:szCs w:val="20"/>
        </w:rPr>
      </w:pPr>
    </w:p>
    <w:p w:rsidR="00C54546" w:rsidP="3090EFFF" w:rsidRDefault="0045491F" w14:paraId="00000008" w14:textId="7404AE38">
      <w:pPr>
        <w:shd w:val="clear" w:color="auto" w:fill="FFFFFF" w:themeFill="background1"/>
        <w:jc w:val="both"/>
        <w:rPr>
          <w:rFonts w:ascii="Roboto" w:hAnsi="Roboto" w:eastAsia="Roboto" w:cs="Roboto"/>
          <w:color w:val="333333"/>
          <w:sz w:val="21"/>
          <w:szCs w:val="21"/>
        </w:rPr>
      </w:pPr>
      <w:r w:rsidRPr="3090EFFF" w:rsidR="0045491F">
        <w:rPr>
          <w:rFonts w:ascii="Roboto" w:hAnsi="Roboto" w:eastAsia="Roboto" w:cs="Roboto"/>
          <w:color w:val="434343"/>
          <w:sz w:val="22"/>
          <w:szCs w:val="22"/>
        </w:rPr>
        <w:t>Madrid</w:t>
      </w:r>
      <w:r w:rsidRPr="3090EFFF" w:rsidR="0045491F">
        <w:rPr>
          <w:rFonts w:ascii="Roboto" w:hAnsi="Roboto" w:eastAsia="Roboto" w:cs="Roboto"/>
          <w:sz w:val="22"/>
          <w:szCs w:val="22"/>
        </w:rPr>
        <w:t xml:space="preserve">, 12 de julio de 2022.- La </w:t>
      </w:r>
      <w:hyperlink r:id="R4b40ff340e3b4de1">
        <w:r w:rsidRPr="3090EFFF" w:rsidR="0045491F">
          <w:rPr>
            <w:rFonts w:ascii="Roboto" w:hAnsi="Roboto" w:eastAsia="Roboto" w:cs="Roboto"/>
            <w:b w:val="1"/>
            <w:bCs w:val="1"/>
            <w:color w:val="1155CC"/>
            <w:sz w:val="22"/>
            <w:szCs w:val="22"/>
            <w:u w:val="single"/>
          </w:rPr>
          <w:t>Entidad Nacional de Acreditación</w:t>
        </w:r>
      </w:hyperlink>
      <w:r w:rsidRPr="3090EFFF" w:rsidR="0045491F">
        <w:rPr>
          <w:rFonts w:ascii="Roboto" w:hAnsi="Roboto" w:eastAsia="Roboto" w:cs="Roboto"/>
          <w:sz w:val="22"/>
          <w:szCs w:val="22"/>
        </w:rPr>
        <w:t xml:space="preserve"> (</w:t>
      </w:r>
      <w:r w:rsidRPr="3090EFFF" w:rsidR="0045491F">
        <w:rPr>
          <w:rFonts w:ascii="Roboto" w:hAnsi="Roboto" w:eastAsia="Roboto" w:cs="Roboto"/>
          <w:sz w:val="21"/>
          <w:szCs w:val="21"/>
        </w:rPr>
        <w:t xml:space="preserve">ENAC) ha otorgado la acreditación a </w:t>
      </w:r>
      <w:proofErr w:type="spellStart"/>
      <w:r w:rsidRPr="3090EFFF" w:rsidR="0045491F">
        <w:rPr>
          <w:rFonts w:ascii="Roboto" w:hAnsi="Roboto" w:eastAsia="Roboto" w:cs="Roboto"/>
          <w:sz w:val="21"/>
          <w:szCs w:val="21"/>
        </w:rPr>
        <w:t>Celgene</w:t>
      </w:r>
      <w:proofErr w:type="spellEnd"/>
      <w:r w:rsidRPr="3090EFFF" w:rsidR="0045491F">
        <w:rPr>
          <w:rFonts w:ascii="Roboto" w:hAnsi="Roboto" w:eastAsia="Roboto" w:cs="Roboto"/>
          <w:sz w:val="21"/>
          <w:szCs w:val="21"/>
        </w:rPr>
        <w:t xml:space="preserve"> </w:t>
      </w:r>
      <w:proofErr w:type="spellStart"/>
      <w:r w:rsidRPr="3090EFFF" w:rsidR="0045491F">
        <w:rPr>
          <w:rFonts w:ascii="Roboto" w:hAnsi="Roboto" w:eastAsia="Roboto" w:cs="Roboto"/>
          <w:sz w:val="21"/>
          <w:szCs w:val="21"/>
        </w:rPr>
        <w:t>Research</w:t>
      </w:r>
      <w:proofErr w:type="spellEnd"/>
      <w:r w:rsidRPr="3090EFFF" w:rsidR="0045491F">
        <w:rPr>
          <w:rFonts w:ascii="Roboto" w:hAnsi="Roboto" w:eastAsia="Roboto" w:cs="Roboto"/>
          <w:sz w:val="21"/>
          <w:szCs w:val="21"/>
        </w:rPr>
        <w:t>, perteneciente a la multinacional farmacéutica</w:t>
      </w:r>
      <w:r w:rsidRPr="3090EFFF" w:rsidR="0045491F">
        <w:rPr>
          <w:rFonts w:ascii="Roboto" w:hAnsi="Roboto" w:eastAsia="Roboto" w:cs="Roboto"/>
          <w:color w:val="333333"/>
          <w:sz w:val="21"/>
          <w:szCs w:val="21"/>
        </w:rPr>
        <w:t xml:space="preserve"> </w:t>
      </w:r>
      <w:hyperlink r:id="R0137a0c970da4d78">
        <w:r w:rsidRPr="3090EFFF" w:rsidR="0045491F">
          <w:rPr>
            <w:rFonts w:ascii="Roboto" w:hAnsi="Roboto" w:eastAsia="Roboto" w:cs="Roboto"/>
            <w:color w:val="D91D24"/>
            <w:sz w:val="21"/>
            <w:szCs w:val="21"/>
            <w:u w:val="single"/>
          </w:rPr>
          <w:t>Bristol Myers Squibb (BMS)</w:t>
        </w:r>
      </w:hyperlink>
      <w:r w:rsidRPr="3090EFFF" w:rsidR="0045491F">
        <w:rPr>
          <w:rFonts w:ascii="Roboto" w:hAnsi="Roboto" w:eastAsia="Roboto" w:cs="Roboto"/>
          <w:color w:val="333333"/>
          <w:sz w:val="21"/>
          <w:szCs w:val="21"/>
        </w:rPr>
        <w:t xml:space="preserve">, para su </w:t>
      </w:r>
      <w:r w:rsidRPr="3090EFFF" w:rsidR="0045491F">
        <w:rPr>
          <w:rFonts w:ascii="Roboto" w:hAnsi="Roboto" w:eastAsia="Roboto" w:cs="Roboto"/>
          <w:b w:val="1"/>
          <w:bCs w:val="1"/>
          <w:color w:val="333333"/>
          <w:sz w:val="21"/>
          <w:szCs w:val="21"/>
        </w:rPr>
        <w:t>Centro de Innovación e Investigación Traslacional en Europa (CITRE)</w:t>
      </w:r>
      <w:r w:rsidRPr="3090EFFF" w:rsidR="0045491F">
        <w:rPr>
          <w:rFonts w:ascii="Roboto" w:hAnsi="Roboto" w:eastAsia="Roboto" w:cs="Roboto"/>
          <w:color w:val="333333"/>
          <w:sz w:val="21"/>
          <w:szCs w:val="21"/>
        </w:rPr>
        <w:t xml:space="preserve">. La acreditación se ha concedido para la </w:t>
      </w:r>
      <w:r w:rsidRPr="3090EFFF" w:rsidR="0045491F">
        <w:rPr>
          <w:rFonts w:ascii="Roboto" w:hAnsi="Roboto" w:eastAsia="Roboto" w:cs="Roboto"/>
          <w:b w:val="1"/>
          <w:bCs w:val="1"/>
          <w:color w:val="333333"/>
          <w:sz w:val="21"/>
          <w:szCs w:val="21"/>
        </w:rPr>
        <w:t>cuantificación de biomarcadores en subpoblac</w:t>
      </w:r>
      <w:r w:rsidRPr="3090EFFF" w:rsidR="0045491F">
        <w:rPr>
          <w:rFonts w:ascii="Roboto" w:hAnsi="Roboto" w:eastAsia="Roboto" w:cs="Roboto"/>
          <w:b w:val="1"/>
          <w:bCs w:val="1"/>
          <w:color w:val="333333"/>
          <w:sz w:val="21"/>
          <w:szCs w:val="21"/>
        </w:rPr>
        <w:t>iones leucocitarias y linfocitarias mediante citometría de flujo</w:t>
      </w:r>
      <w:r w:rsidRPr="3090EFFF" w:rsidR="0045491F">
        <w:rPr>
          <w:rFonts w:ascii="Roboto" w:hAnsi="Roboto" w:eastAsia="Roboto" w:cs="Roboto"/>
          <w:color w:val="333333"/>
          <w:sz w:val="21"/>
          <w:szCs w:val="21"/>
        </w:rPr>
        <w:t>. Estos ensayos se engloban en el ámbito de la farmacodinámica, es decir, cómo afectan los fármacos al organismo del paciente.</w:t>
      </w:r>
    </w:p>
    <w:p w:rsidR="00C54546" w:rsidRDefault="00C54546" w14:paraId="00000009" w14:textId="77777777">
      <w:pPr>
        <w:shd w:val="clear" w:color="auto" w:fill="FFFFFF"/>
        <w:jc w:val="both"/>
        <w:rPr>
          <w:rFonts w:ascii="Roboto" w:hAnsi="Roboto" w:eastAsia="Roboto" w:cs="Roboto"/>
          <w:color w:val="333333"/>
          <w:sz w:val="21"/>
          <w:szCs w:val="21"/>
        </w:rPr>
      </w:pPr>
    </w:p>
    <w:p w:rsidR="00C54546" w:rsidP="5E3DCFF6" w:rsidRDefault="5E3DCFF6" w14:paraId="0000000A" w14:textId="5AC88F3C">
      <w:pPr>
        <w:shd w:val="clear" w:color="auto" w:fill="FFFFFF" w:themeFill="background1"/>
        <w:spacing w:after="160"/>
        <w:jc w:val="both"/>
        <w:rPr>
          <w:rFonts w:ascii="Roboto" w:hAnsi="Roboto" w:eastAsia="Roboto" w:cs="Roboto"/>
          <w:color w:val="222222"/>
          <w:sz w:val="22"/>
          <w:szCs w:val="22"/>
        </w:rPr>
      </w:pPr>
      <w:r w:rsidRPr="5E3DCFF6">
        <w:rPr>
          <w:rFonts w:ascii="Roboto" w:hAnsi="Roboto" w:eastAsia="Roboto" w:cs="Roboto"/>
          <w:color w:val="222222"/>
          <w:sz w:val="21"/>
          <w:szCs w:val="21"/>
        </w:rPr>
        <w:t>El laboratorio acreditado, ubicado en Sevilla,</w:t>
      </w:r>
      <w:r w:rsidRPr="5E3DCFF6">
        <w:rPr>
          <w:rFonts w:ascii="Roboto" w:hAnsi="Roboto" w:eastAsia="Roboto" w:cs="Roboto"/>
          <w:b/>
          <w:bCs/>
          <w:color w:val="222222"/>
          <w:sz w:val="21"/>
          <w:szCs w:val="21"/>
        </w:rPr>
        <w:t xml:space="preserve"> es el único centro de investigación y desarrollo de la multinacional fuera de Estados Unidos</w:t>
      </w:r>
      <w:r w:rsidRPr="5E3DCFF6">
        <w:rPr>
          <w:rFonts w:ascii="Roboto" w:hAnsi="Roboto" w:eastAsia="Roboto" w:cs="Roboto"/>
          <w:color w:val="222222"/>
          <w:sz w:val="21"/>
          <w:szCs w:val="21"/>
        </w:rPr>
        <w:t>. Débora Pons, responsable de Calidad de la compañía, explica</w:t>
      </w:r>
      <w:r w:rsidRPr="5E3DCFF6">
        <w:rPr>
          <w:rFonts w:ascii="Roboto" w:hAnsi="Roboto" w:eastAsia="Roboto" w:cs="Roboto"/>
          <w:color w:val="222222"/>
          <w:sz w:val="22"/>
          <w:szCs w:val="22"/>
        </w:rPr>
        <w:t xml:space="preserve"> el alcance e importancia de la acreditación otorgada </w:t>
      </w:r>
      <w:r w:rsidRPr="5E3DCFF6">
        <w:rPr>
          <w:rFonts w:ascii="Roboto" w:hAnsi="Roboto" w:eastAsia="Roboto" w:cs="Roboto"/>
          <w:color w:val="222222"/>
          <w:sz w:val="21"/>
          <w:szCs w:val="21"/>
        </w:rPr>
        <w:t>y las razones que llevaron a CITRE a solicitarla para este tipo de ensayos:</w:t>
      </w:r>
      <w:r w:rsidRPr="5E3DCFF6">
        <w:rPr>
          <w:rFonts w:ascii="Roboto" w:hAnsi="Roboto" w:eastAsia="Roboto" w:cs="Roboto"/>
          <w:color w:val="222222"/>
          <w:sz w:val="22"/>
          <w:szCs w:val="22"/>
        </w:rPr>
        <w:t xml:space="preserve"> “Disponer de un laboratorio interno acreditado nos aporta la tranquilidad de saber que</w:t>
      </w:r>
      <w:r w:rsidRPr="5E3DCFF6">
        <w:rPr>
          <w:rFonts w:ascii="Roboto" w:hAnsi="Roboto" w:eastAsia="Roboto" w:cs="Roboto"/>
          <w:b/>
          <w:bCs/>
          <w:color w:val="222222"/>
          <w:sz w:val="22"/>
          <w:szCs w:val="22"/>
        </w:rPr>
        <w:t xml:space="preserve"> el desarrollo de un fármaco va a estar basado en resultados fiables, robustos y reproducibles</w:t>
      </w:r>
      <w:r w:rsidRPr="5E3DCFF6">
        <w:rPr>
          <w:rFonts w:ascii="Roboto" w:hAnsi="Roboto" w:eastAsia="Roboto" w:cs="Roboto"/>
          <w:color w:val="222222"/>
          <w:sz w:val="22"/>
          <w:szCs w:val="22"/>
        </w:rPr>
        <w:t xml:space="preserve">. De cara al uso de dichos resultados para el soporte de decisiones clínicas y relaciones con agencias reguladoras, </w:t>
      </w:r>
      <w:r w:rsidRPr="5E3DCFF6">
        <w:rPr>
          <w:rFonts w:ascii="Roboto" w:hAnsi="Roboto" w:eastAsia="Roboto" w:cs="Roboto"/>
          <w:b/>
          <w:bCs/>
          <w:color w:val="222222"/>
          <w:sz w:val="22"/>
          <w:szCs w:val="22"/>
        </w:rPr>
        <w:t>esta acreditación aporta una validación externa de nuestras garantías de calidad</w:t>
      </w:r>
      <w:r w:rsidRPr="5E3DCFF6">
        <w:rPr>
          <w:rFonts w:ascii="Roboto" w:hAnsi="Roboto" w:eastAsia="Roboto" w:cs="Roboto"/>
          <w:color w:val="222222"/>
          <w:sz w:val="22"/>
          <w:szCs w:val="22"/>
        </w:rPr>
        <w:t>".</w:t>
      </w:r>
    </w:p>
    <w:p w:rsidR="00C54546" w:rsidP="3090EFFF" w:rsidRDefault="0045491F" w14:paraId="0000000B" w14:textId="6D72A5F8">
      <w:pPr>
        <w:shd w:val="clear" w:color="auto" w:fill="FFFFFF" w:themeFill="background1"/>
        <w:spacing w:after="160"/>
        <w:jc w:val="both"/>
        <w:rPr>
          <w:rFonts w:ascii="Roboto" w:hAnsi="Roboto" w:eastAsia="Roboto" w:cs="Roboto"/>
          <w:color w:val="222222"/>
          <w:sz w:val="21"/>
          <w:szCs w:val="21"/>
          <w:highlight w:val="white"/>
        </w:rPr>
      </w:pPr>
      <w:r w:rsidRPr="3090EFFF" w:rsidR="0045491F">
        <w:rPr>
          <w:rFonts w:ascii="Roboto" w:hAnsi="Roboto" w:eastAsia="Roboto" w:cs="Roboto"/>
          <w:color w:val="222222"/>
          <w:sz w:val="21"/>
          <w:szCs w:val="21"/>
          <w:highlight w:val="white"/>
        </w:rPr>
        <w:t xml:space="preserve">Los ensayos acreditados son ensayos de farmacodinámica aplicados en ensayos </w:t>
      </w:r>
      <w:r w:rsidRPr="3090EFFF" w:rsidR="001D5232">
        <w:rPr>
          <w:rFonts w:ascii="Roboto" w:hAnsi="Roboto" w:eastAsia="Roboto" w:cs="Roboto"/>
          <w:color w:val="222222"/>
          <w:sz w:val="21"/>
          <w:szCs w:val="21"/>
          <w:highlight w:val="white"/>
        </w:rPr>
        <w:t>c</w:t>
      </w:r>
      <w:r w:rsidRPr="3090EFFF" w:rsidR="0045491F">
        <w:rPr>
          <w:rFonts w:ascii="Roboto" w:hAnsi="Roboto" w:eastAsia="Roboto" w:cs="Roboto"/>
          <w:color w:val="222222"/>
          <w:sz w:val="21"/>
          <w:szCs w:val="21"/>
          <w:highlight w:val="white"/>
        </w:rPr>
        <w:t xml:space="preserve">línicos pertenecientes a Bristol Myers </w:t>
      </w:r>
      <w:r w:rsidRPr="3090EFFF" w:rsidR="0045491F">
        <w:rPr>
          <w:rFonts w:ascii="Roboto" w:hAnsi="Roboto" w:eastAsia="Roboto" w:cs="Roboto"/>
          <w:color w:val="222222"/>
          <w:sz w:val="21"/>
          <w:szCs w:val="21"/>
          <w:highlight w:val="white"/>
        </w:rPr>
        <w:t xml:space="preserve">Squibb. </w:t>
      </w:r>
      <w:r w:rsidRPr="3090EFFF" w:rsidR="001D5232">
        <w:rPr>
          <w:rFonts w:ascii="Roboto" w:hAnsi="Roboto" w:eastAsia="Roboto" w:cs="Roboto"/>
          <w:color w:val="222222"/>
          <w:sz w:val="21"/>
          <w:szCs w:val="21"/>
          <w:highlight w:val="white"/>
        </w:rPr>
        <w:t>“</w:t>
      </w:r>
      <w:r w:rsidRPr="3090EFFF" w:rsidR="0045491F">
        <w:rPr>
          <w:rFonts w:ascii="Roboto" w:hAnsi="Roboto" w:eastAsia="Roboto" w:cs="Roboto"/>
          <w:color w:val="222222"/>
          <w:sz w:val="21"/>
          <w:szCs w:val="21"/>
          <w:highlight w:val="white"/>
        </w:rPr>
        <w:t xml:space="preserve">Los resultados farmacodinámicos, que relacionan la concentración del fármaco con su efecto biológico en biomarcadores definidos, contribuyen decisivamente en la fase de escalado y de confirmación clínica de concepto en </w:t>
      </w:r>
      <w:r w:rsidRPr="3090EFFF" w:rsidR="001D5232">
        <w:rPr>
          <w:rFonts w:ascii="Roboto" w:hAnsi="Roboto" w:eastAsia="Roboto" w:cs="Roboto"/>
          <w:color w:val="222222"/>
          <w:sz w:val="21"/>
          <w:szCs w:val="21"/>
          <w:highlight w:val="white"/>
        </w:rPr>
        <w:t>e</w:t>
      </w:r>
      <w:r w:rsidRPr="3090EFFF" w:rsidR="0045491F">
        <w:rPr>
          <w:rFonts w:ascii="Roboto" w:hAnsi="Roboto" w:eastAsia="Roboto" w:cs="Roboto"/>
          <w:color w:val="222222"/>
          <w:sz w:val="21"/>
          <w:szCs w:val="21"/>
          <w:highlight w:val="white"/>
        </w:rPr>
        <w:t xml:space="preserve">nsayos </w:t>
      </w:r>
      <w:r w:rsidRPr="3090EFFF" w:rsidR="001D5232">
        <w:rPr>
          <w:rFonts w:ascii="Roboto" w:hAnsi="Roboto" w:eastAsia="Roboto" w:cs="Roboto"/>
          <w:color w:val="222222"/>
          <w:sz w:val="21"/>
          <w:szCs w:val="21"/>
          <w:highlight w:val="white"/>
        </w:rPr>
        <w:t>c</w:t>
      </w:r>
      <w:r w:rsidRPr="3090EFFF" w:rsidR="001D5232">
        <w:rPr>
          <w:rFonts w:ascii="Roboto" w:hAnsi="Roboto" w:eastAsia="Roboto" w:cs="Roboto"/>
          <w:color w:val="222222"/>
          <w:sz w:val="21"/>
          <w:szCs w:val="21"/>
          <w:highlight w:val="white"/>
        </w:rPr>
        <w:t xml:space="preserve">línicos </w:t>
      </w:r>
      <w:r w:rsidRPr="3090EFFF" w:rsidR="0045491F">
        <w:rPr>
          <w:rFonts w:ascii="Roboto" w:hAnsi="Roboto" w:eastAsia="Roboto" w:cs="Roboto"/>
          <w:color w:val="222222"/>
          <w:sz w:val="21"/>
          <w:szCs w:val="21"/>
          <w:highlight w:val="white"/>
        </w:rPr>
        <w:t>en fase temp</w:t>
      </w:r>
      <w:r w:rsidRPr="3090EFFF" w:rsidR="0045491F">
        <w:rPr>
          <w:rFonts w:ascii="Roboto" w:hAnsi="Roboto" w:eastAsia="Roboto" w:cs="Roboto"/>
          <w:color w:val="222222"/>
          <w:sz w:val="21"/>
          <w:szCs w:val="21"/>
          <w:highlight w:val="white"/>
        </w:rPr>
        <w:t xml:space="preserve">rana de desarrollo. </w:t>
      </w:r>
      <w:r w:rsidRPr="3090EFFF" w:rsidR="0045491F">
        <w:rPr>
          <w:rFonts w:ascii="Roboto" w:hAnsi="Roboto" w:eastAsia="Roboto" w:cs="Roboto"/>
          <w:color w:val="222222"/>
          <w:sz w:val="21"/>
          <w:szCs w:val="21"/>
          <w:highlight w:val="white"/>
        </w:rPr>
        <w:t xml:space="preserve">Desde el momento en el que iniciamos el primer ensayo siempre tuvimos en mente que queríamos demostrar la competencia técnica de nuestro personal y la fiabilidad de nuestros resultados analíticos”, añade Pons. </w:t>
      </w:r>
    </w:p>
    <w:p w:rsidR="00C54546" w:rsidRDefault="0045491F" w14:paraId="0000000C" w14:textId="77777777">
      <w:pPr>
        <w:shd w:val="clear" w:color="auto" w:fill="FFFFFF"/>
        <w:spacing w:after="160"/>
        <w:jc w:val="both"/>
        <w:rPr>
          <w:rFonts w:ascii="Roboto" w:hAnsi="Roboto" w:eastAsia="Roboto" w:cs="Roboto"/>
          <w:color w:val="222222"/>
          <w:sz w:val="22"/>
          <w:szCs w:val="22"/>
          <w:highlight w:val="white"/>
        </w:rPr>
      </w:pPr>
      <w:r>
        <w:rPr>
          <w:rFonts w:ascii="Roboto" w:hAnsi="Roboto" w:eastAsia="Roboto" w:cs="Roboto"/>
          <w:color w:val="222222"/>
          <w:sz w:val="22"/>
          <w:szCs w:val="22"/>
          <w:highlight w:val="white"/>
        </w:rPr>
        <w:t>Por otro lado, resalta e</w:t>
      </w:r>
      <w:r>
        <w:rPr>
          <w:rFonts w:ascii="Roboto" w:hAnsi="Roboto" w:eastAsia="Roboto" w:cs="Roboto"/>
          <w:color w:val="222222"/>
          <w:sz w:val="22"/>
          <w:szCs w:val="22"/>
          <w:highlight w:val="white"/>
        </w:rPr>
        <w:t>l beneficio de la acreditación conseguida para el paciente: “</w:t>
      </w:r>
      <w:r>
        <w:rPr>
          <w:rFonts w:ascii="Roboto" w:hAnsi="Roboto" w:eastAsia="Roboto" w:cs="Roboto"/>
          <w:b/>
          <w:color w:val="222222"/>
          <w:sz w:val="22"/>
          <w:szCs w:val="22"/>
          <w:highlight w:val="white"/>
        </w:rPr>
        <w:t>Los pacientes que participen en nuestros ensayos clínicos van a tener la seguridad de que para nosotros sus muestras son invaluables e irremplazables</w:t>
      </w:r>
      <w:r>
        <w:rPr>
          <w:rFonts w:ascii="Roboto" w:hAnsi="Roboto" w:eastAsia="Roboto" w:cs="Roboto"/>
          <w:color w:val="222222"/>
          <w:sz w:val="22"/>
          <w:szCs w:val="22"/>
          <w:highlight w:val="white"/>
        </w:rPr>
        <w:t>, y que serán tratadas y analizadas con los má</w:t>
      </w:r>
      <w:r>
        <w:rPr>
          <w:rFonts w:ascii="Roboto" w:hAnsi="Roboto" w:eastAsia="Roboto" w:cs="Roboto"/>
          <w:color w:val="222222"/>
          <w:sz w:val="22"/>
          <w:szCs w:val="22"/>
          <w:highlight w:val="white"/>
        </w:rPr>
        <w:t>ximos estándares de calidad".</w:t>
      </w:r>
    </w:p>
    <w:p w:rsidR="00C54546" w:rsidRDefault="0045491F" w14:paraId="0000000D" w14:textId="77777777">
      <w:pPr>
        <w:shd w:val="clear" w:color="auto" w:fill="FFFFFF"/>
        <w:spacing w:after="160"/>
        <w:jc w:val="both"/>
        <w:rPr>
          <w:rFonts w:ascii="Roboto" w:hAnsi="Roboto" w:eastAsia="Roboto" w:cs="Roboto"/>
          <w:sz w:val="21"/>
          <w:szCs w:val="21"/>
          <w:highlight w:val="white"/>
        </w:rPr>
      </w:pPr>
      <w:r>
        <w:rPr>
          <w:rFonts w:ascii="Roboto" w:hAnsi="Roboto" w:eastAsia="Roboto" w:cs="Roboto"/>
          <w:sz w:val="21"/>
          <w:szCs w:val="21"/>
          <w:highlight w:val="white"/>
        </w:rPr>
        <w:t>La acreditación de ENAC goza de reconocimiento internacional en más de 100 economías de todo el mundo y “aunque los ensayos acreditados forman parte de la fase de I+D+i y no a la fase de comercialización, si uno de los compues</w:t>
      </w:r>
      <w:r>
        <w:rPr>
          <w:rFonts w:ascii="Roboto" w:hAnsi="Roboto" w:eastAsia="Roboto" w:cs="Roboto"/>
          <w:sz w:val="21"/>
          <w:szCs w:val="21"/>
          <w:highlight w:val="white"/>
        </w:rPr>
        <w:t>tos que hemos analizado llega a ser comercializado, sin duda desde CITRE habremos puesto nuestro granito de arena en que ese fármaco llegue a quienes lo necesitan, algo que nos llena de orgullo y nos impulsa a continuar investigando para lograr que nuestra</w:t>
      </w:r>
      <w:r>
        <w:rPr>
          <w:rFonts w:ascii="Roboto" w:hAnsi="Roboto" w:eastAsia="Roboto" w:cs="Roboto"/>
          <w:sz w:val="21"/>
          <w:szCs w:val="21"/>
          <w:highlight w:val="white"/>
        </w:rPr>
        <w:t xml:space="preserve"> ciencia siga transformando la vida los pacientes”, concluye la responsable de Calidad. </w:t>
      </w:r>
    </w:p>
    <w:p w:rsidR="00C54546" w:rsidRDefault="00C54546" w14:paraId="0000000E" w14:textId="77777777">
      <w:pPr>
        <w:shd w:val="clear" w:color="auto" w:fill="FFFFFF"/>
        <w:spacing w:after="160"/>
        <w:jc w:val="both"/>
        <w:rPr>
          <w:rFonts w:ascii="Roboto" w:hAnsi="Roboto" w:eastAsia="Roboto" w:cs="Roboto"/>
          <w:color w:val="333333"/>
          <w:sz w:val="21"/>
          <w:szCs w:val="21"/>
          <w:highlight w:val="white"/>
        </w:rPr>
      </w:pPr>
    </w:p>
    <w:p w:rsidR="00C54546" w:rsidRDefault="00C54546" w14:paraId="0000000F" w14:textId="77777777">
      <w:pPr>
        <w:shd w:val="clear" w:color="auto" w:fill="FFFFFF"/>
        <w:spacing w:after="160"/>
        <w:jc w:val="both"/>
        <w:rPr>
          <w:rFonts w:ascii="Roboto" w:hAnsi="Roboto" w:eastAsia="Roboto" w:cs="Roboto"/>
          <w:color w:val="333333"/>
          <w:sz w:val="21"/>
          <w:szCs w:val="21"/>
          <w:highlight w:val="white"/>
        </w:rPr>
      </w:pPr>
    </w:p>
    <w:p w:rsidR="00C54546" w:rsidP="3090EFFF" w:rsidRDefault="0045491F" w14:paraId="7B8F9B7D" w14:textId="1C3D8719">
      <w:pPr>
        <w:pBdr>
          <w:bottom w:val="single" w:color="000000" w:sz="12" w:space="1"/>
        </w:pBdr>
        <w:shd w:val="clear" w:color="auto" w:fill="FFFFFF" w:themeFill="background1"/>
        <w:jc w:val="both"/>
        <w:rPr>
          <w:rFonts w:ascii="Roboto" w:hAnsi="Roboto" w:eastAsia="Roboto" w:cs="Roboto"/>
          <w:b w:val="1"/>
          <w:bCs w:val="1"/>
          <w:color w:val="E83544"/>
          <w:sz w:val="22"/>
          <w:szCs w:val="22"/>
        </w:rPr>
      </w:pPr>
    </w:p>
    <w:p w:rsidR="00C54546" w:rsidP="3090EFFF" w:rsidRDefault="0045491F" w14:paraId="30B45ABA" w14:textId="4129F577">
      <w:pPr>
        <w:pBdr>
          <w:bottom w:val="single" w:color="000000" w:sz="12" w:space="1"/>
        </w:pBdr>
        <w:shd w:val="clear" w:color="auto" w:fill="FFFFFF" w:themeFill="background1"/>
        <w:jc w:val="both"/>
        <w:rPr>
          <w:rFonts w:ascii="Roboto" w:hAnsi="Roboto" w:eastAsia="Roboto" w:cs="Roboto"/>
          <w:b w:val="1"/>
          <w:bCs w:val="1"/>
          <w:color w:val="E83544"/>
          <w:sz w:val="22"/>
          <w:szCs w:val="22"/>
        </w:rPr>
      </w:pPr>
    </w:p>
    <w:p w:rsidR="00C54546" w:rsidP="3090EFFF" w:rsidRDefault="0045491F" w14:paraId="0F6D529B" w14:textId="46320C84">
      <w:pPr>
        <w:pBdr>
          <w:bottom w:val="single" w:color="000000" w:sz="12" w:space="1"/>
        </w:pBdr>
        <w:jc w:val="both"/>
        <w:rPr>
          <w:rFonts w:ascii="Roboto" w:hAnsi="Roboto" w:eastAsia="Roboto" w:cs="Roboto"/>
          <w:b w:val="1"/>
          <w:bCs w:val="1"/>
          <w:i w:val="0"/>
          <w:iCs w:val="0"/>
          <w:strike w:val="0"/>
          <w:dstrike w:val="0"/>
          <w:noProof w:val="0"/>
          <w:color w:val="E83544"/>
          <w:sz w:val="22"/>
          <w:szCs w:val="22"/>
          <w:u w:val="none"/>
          <w:lang w:val="es-ES"/>
        </w:rPr>
      </w:pPr>
      <w:r w:rsidRPr="3090EFFF" w:rsidR="3090EFFF">
        <w:rPr>
          <w:rFonts w:ascii="Roboto" w:hAnsi="Roboto" w:eastAsia="Roboto" w:cs="Roboto"/>
          <w:b w:val="1"/>
          <w:bCs w:val="1"/>
          <w:i w:val="0"/>
          <w:iCs w:val="0"/>
          <w:strike w:val="0"/>
          <w:dstrike w:val="0"/>
          <w:noProof w:val="0"/>
          <w:color w:val="E83544"/>
          <w:sz w:val="22"/>
          <w:szCs w:val="22"/>
          <w:u w:val="none"/>
          <w:lang w:val="es-ES"/>
        </w:rPr>
        <w:t xml:space="preserve">Sobre ENAC y el sector sanitario </w:t>
      </w:r>
    </w:p>
    <w:p w:rsidR="00C54546" w:rsidP="3090EFFF" w:rsidRDefault="0045491F" w14:paraId="4D7C877B" w14:textId="13CBAB76">
      <w:pPr>
        <w:pStyle w:val="Normal"/>
        <w:pBdr>
          <w:bottom w:val="single" w:color="000000" w:sz="12" w:space="1"/>
        </w:pBdr>
        <w:jc w:val="both"/>
        <w:rPr>
          <w:rFonts w:ascii="Roboto" w:hAnsi="Roboto" w:eastAsia="Roboto" w:cs="Roboto"/>
          <w:b w:val="1"/>
          <w:bCs w:val="1"/>
          <w:i w:val="0"/>
          <w:iCs w:val="0"/>
          <w:strike w:val="0"/>
          <w:dstrike w:val="0"/>
          <w:noProof w:val="0"/>
          <w:color w:val="E83544"/>
          <w:sz w:val="22"/>
          <w:szCs w:val="22"/>
          <w:u w:val="none"/>
          <w:lang w:val="es-ES"/>
        </w:rPr>
      </w:pPr>
    </w:p>
    <w:p w:rsidR="00C54546" w:rsidP="3090EFFF" w:rsidRDefault="0045491F" w14:paraId="7BE91DF5" w14:textId="338CBE6D">
      <w:pPr>
        <w:pBdr>
          <w:bottom w:val="single" w:color="000000" w:sz="12" w:space="1"/>
        </w:pBdr>
        <w:jc w:val="both"/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3090EFFF" w:rsidR="3090EFFF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La calidad y la seguridad son dos elementos fundamentales para garantizar un sistema sanitario acorde con las necesidades actuales. La acreditación de ENAC proporciona</w:t>
      </w:r>
      <w:r w:rsidRPr="3090EFFF" w:rsidR="3090EFFF">
        <w:rPr>
          <w:rFonts w:ascii="Roboto" w:hAnsi="Roboto" w:eastAsia="Roboto" w:cs="Roboto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3090EFFF" w:rsidR="3090EFFF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confianza en los diferentes ámbitos y etapas de la prestación de los servicios siendo un sector en el que cada vez se hace más uso de la acreditación como instrumento de seguridad y control. </w:t>
      </w:r>
    </w:p>
    <w:p w:rsidR="00C54546" w:rsidP="3090EFFF" w:rsidRDefault="0045491F" w14:paraId="33CAFF3C" w14:textId="466F1C1A">
      <w:pPr>
        <w:pStyle w:val="Normal"/>
        <w:pBdr>
          <w:bottom w:val="single" w:color="000000" w:sz="12" w:space="1"/>
        </w:pBdr>
        <w:jc w:val="both"/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00C54546" w:rsidP="3090EFFF" w:rsidRDefault="0045491F" w14:paraId="0E1F9099" w14:textId="68E6B96F">
      <w:pPr>
        <w:pBdr>
          <w:bottom w:val="single" w:color="000000" w:sz="12" w:space="1"/>
        </w:pBdr>
        <w:jc w:val="both"/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3090EFFF" w:rsidR="3090EFFF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ENAC ha acreditado a laboratorios de muy diversas especialidades (inmunología, bioquímica, genética, microbiología, hematología, anatomía patológica) y de diferentes niveles de especialización, desde centros nacionales de referencia a laboratorios hospitalarios de rutina y de urgencias, tanto públicos como privados. </w:t>
      </w:r>
    </w:p>
    <w:p w:rsidR="00C54546" w:rsidP="3090EFFF" w:rsidRDefault="0045491F" w14:paraId="198A8C10" w14:textId="7184F337">
      <w:pPr>
        <w:pBdr>
          <w:bottom w:val="single" w:color="000000" w:sz="12" w:space="1"/>
        </w:pBdr>
        <w:jc w:val="both"/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>
        <w:br/>
      </w:r>
      <w:r w:rsidRPr="3090EFFF" w:rsidR="3090EFFF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La acreditación es la herramienta que proporciona confianza a los pacientes, prescriptores y gestores de servicios sanitarios y socio-sanitarios de que los laboratorios clínicos han demostrado su competencia al superar un proceso de </w:t>
      </w:r>
      <w:r w:rsidRPr="3090EFFF" w:rsidR="3090EFFF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evaluación independiente y conforme a normas reconocidas internacionalmente. La norma UNE-EN ISO 15189 es el estándar especialmente enfocado al paciente como eje central de la actividad del laboratorio clínico.</w:t>
      </w:r>
    </w:p>
    <w:p w:rsidR="00C54546" w:rsidRDefault="0045491F" w14:paraId="6730CB14" w14:textId="41D94FA9">
      <w:pPr>
        <w:pBdr>
          <w:bottom w:val="single" w:color="000000" w:sz="12" w:space="1"/>
        </w:pBdr>
        <w:jc w:val="both"/>
      </w:pPr>
    </w:p>
    <w:p w:rsidR="00C54546" w:rsidP="3090EFFF" w:rsidRDefault="0045491F" w14:paraId="29105385" w14:textId="46090B58">
      <w:pPr>
        <w:pBdr>
          <w:bottom w:val="single" w:color="000000" w:sz="12" w:space="1"/>
        </w:pBdr>
        <w:jc w:val="both"/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3090EFFF" w:rsidR="3090EFFF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La Entidad Nacional de Acreditación – ENAC – es la </w:t>
      </w:r>
      <w:r w:rsidRPr="3090EFFF" w:rsidR="3090EFFF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entidad designada por el Gobierno para operar en España como el único Organismo Nacional de Acreditación, en aplicación del Reglamento (CE) </w:t>
      </w:r>
      <w:proofErr w:type="spellStart"/>
      <w:r w:rsidRPr="3090EFFF" w:rsidR="3090EFFF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nº</w:t>
      </w:r>
      <w:proofErr w:type="spellEnd"/>
      <w:r w:rsidRPr="3090EFFF" w:rsidR="3090EFFF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765/2008 del Parlamento Europeo que regula el funcionamiento de la acreditación en Europa.</w:t>
      </w:r>
    </w:p>
    <w:p w:rsidR="00C54546" w:rsidP="3090EFFF" w:rsidRDefault="0045491F" w14:paraId="43E937E2" w14:textId="348FBC1F">
      <w:pPr>
        <w:pStyle w:val="Normal"/>
        <w:pBdr>
          <w:bottom w:val="single" w:color="000000" w:sz="12" w:space="1"/>
        </w:pBdr>
        <w:jc w:val="both"/>
      </w:pPr>
      <w:r>
        <w:br/>
      </w:r>
    </w:p>
    <w:p w:rsidR="00C54546" w:rsidP="3090EFFF" w:rsidRDefault="0045491F" w14:paraId="00000018" w14:textId="072F2913">
      <w:pPr>
        <w:pStyle w:val="Normal"/>
        <w:pBdr>
          <w:bottom w:val="single" w:color="000000" w:sz="12" w:space="1"/>
        </w:pBdr>
        <w:jc w:val="both"/>
        <w:rPr>
          <w:rFonts w:ascii="Roboto" w:hAnsi="Roboto" w:eastAsia="Roboto" w:cs="Roboto"/>
          <w:color w:val="E83544"/>
          <w:sz w:val="22"/>
          <w:szCs w:val="22"/>
        </w:rPr>
      </w:pPr>
      <w:r>
        <w:br/>
      </w:r>
      <w:hyperlink r:id="R1ab0dd2776184d49">
        <w:r w:rsidRPr="3090EFFF" w:rsidR="0045491F">
          <w:rPr>
            <w:rFonts w:ascii="Roboto" w:hAnsi="Roboto" w:eastAsia="Roboto" w:cs="Roboto"/>
            <w:color w:val="E83544"/>
            <w:sz w:val="22"/>
            <w:szCs w:val="22"/>
            <w:u w:val="single"/>
          </w:rPr>
          <w:t>ww</w:t>
        </w:r>
        <w:r w:rsidRPr="3090EFFF" w:rsidR="0045491F">
          <w:rPr>
            <w:rFonts w:ascii="Roboto" w:hAnsi="Roboto" w:eastAsia="Roboto" w:cs="Roboto"/>
            <w:color w:val="E83544"/>
            <w:sz w:val="22"/>
            <w:szCs w:val="22"/>
            <w:u w:val="single"/>
          </w:rPr>
          <w:t>w.enac.es</w:t>
        </w:r>
      </w:hyperlink>
      <w:r w:rsidRPr="3090EFFF" w:rsidR="0045491F">
        <w:rPr>
          <w:rFonts w:ascii="Roboto" w:hAnsi="Roboto" w:eastAsia="Roboto" w:cs="Roboto"/>
          <w:color w:val="E83544"/>
          <w:sz w:val="22"/>
          <w:szCs w:val="22"/>
        </w:rPr>
        <w:t xml:space="preserve"> </w:t>
      </w:r>
    </w:p>
    <w:p w:rsidR="00C54546" w:rsidRDefault="00C54546" w14:paraId="00000019" w14:textId="77777777">
      <w:pPr>
        <w:pBdr>
          <w:bottom w:val="single" w:color="000000" w:sz="12" w:space="1"/>
        </w:pBdr>
        <w:jc w:val="both"/>
        <w:rPr>
          <w:rFonts w:ascii="Roboto" w:hAnsi="Roboto" w:eastAsia="Roboto" w:cs="Roboto"/>
          <w:color w:val="E83544"/>
          <w:sz w:val="22"/>
          <w:szCs w:val="22"/>
        </w:rPr>
      </w:pPr>
    </w:p>
    <w:p w:rsidR="00C54546" w:rsidRDefault="0045491F" w14:paraId="0000001A" w14:textId="77777777">
      <w:pPr>
        <w:pBdr>
          <w:bottom w:val="single" w:color="000000" w:sz="12" w:space="1"/>
        </w:pBdr>
        <w:jc w:val="both"/>
        <w:rPr>
          <w:rFonts w:ascii="Roboto" w:hAnsi="Roboto" w:eastAsia="Roboto" w:cs="Roboto"/>
          <w:sz w:val="22"/>
          <w:szCs w:val="22"/>
        </w:rPr>
      </w:pPr>
      <w:r>
        <w:rPr>
          <w:rFonts w:ascii="Roboto" w:hAnsi="Roboto" w:eastAsia="Roboto" w:cs="Roboto"/>
          <w:color w:val="0000FF"/>
          <w:sz w:val="22"/>
          <w:szCs w:val="22"/>
        </w:rPr>
        <w:t xml:space="preserve"> </w:t>
      </w:r>
      <w:r>
        <w:rPr>
          <w:rFonts w:ascii="Roboto" w:hAnsi="Roboto" w:eastAsia="Roboto" w:cs="Roboto"/>
          <w:noProof/>
          <w:color w:val="0000FF"/>
          <w:sz w:val="22"/>
          <w:szCs w:val="22"/>
        </w:rPr>
        <w:drawing>
          <wp:inline distT="0" distB="0" distL="0" distR="0" wp14:anchorId="66E63A9E" wp14:editId="07777777">
            <wp:extent cx="304800" cy="3048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hAnsi="Roboto" w:eastAsia="Roboto" w:cs="Roboto"/>
          <w:color w:val="0000FF"/>
          <w:sz w:val="22"/>
          <w:szCs w:val="22"/>
        </w:rPr>
        <w:t xml:space="preserve">  </w:t>
      </w:r>
      <w:r>
        <w:rPr>
          <w:rFonts w:ascii="Roboto" w:hAnsi="Roboto" w:eastAsia="Roboto" w:cs="Roboto"/>
          <w:noProof/>
          <w:color w:val="0000FF"/>
          <w:sz w:val="22"/>
          <w:szCs w:val="22"/>
        </w:rPr>
        <w:drawing>
          <wp:inline distT="0" distB="0" distL="0" distR="0" wp14:anchorId="2020E8B1" wp14:editId="07777777">
            <wp:extent cx="304800" cy="3048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4546" w:rsidRDefault="00C54546" w14:paraId="0000001B" w14:textId="77777777">
      <w:pPr>
        <w:pBdr>
          <w:bottom w:val="single" w:color="000000" w:sz="12" w:space="1"/>
        </w:pBdr>
        <w:jc w:val="both"/>
        <w:rPr>
          <w:rFonts w:ascii="Roboto" w:hAnsi="Roboto" w:eastAsia="Roboto" w:cs="Roboto"/>
          <w:color w:val="E83544"/>
          <w:sz w:val="22"/>
          <w:szCs w:val="22"/>
        </w:rPr>
      </w:pPr>
    </w:p>
    <w:p w:rsidR="00C54546" w:rsidRDefault="00C54546" w14:paraId="0000001C" w14:textId="77777777">
      <w:pPr>
        <w:jc w:val="both"/>
        <w:rPr>
          <w:rFonts w:ascii="Roboto" w:hAnsi="Roboto" w:eastAsia="Roboto" w:cs="Roboto"/>
          <w:color w:val="E83544"/>
          <w:sz w:val="22"/>
          <w:szCs w:val="22"/>
        </w:rPr>
      </w:pPr>
    </w:p>
    <w:p w:rsidR="00C54546" w:rsidRDefault="0045491F" w14:paraId="0000001D" w14:textId="77777777">
      <w:pPr>
        <w:jc w:val="both"/>
        <w:rPr>
          <w:rFonts w:ascii="Roboto" w:hAnsi="Roboto" w:eastAsia="Roboto" w:cs="Roboto"/>
          <w:sz w:val="22"/>
          <w:szCs w:val="22"/>
        </w:rPr>
      </w:pPr>
      <w:r>
        <w:rPr>
          <w:rFonts w:ascii="Roboto" w:hAnsi="Roboto" w:eastAsia="Roboto" w:cs="Roboto"/>
          <w:sz w:val="22"/>
          <w:szCs w:val="22"/>
        </w:rPr>
        <w:t>Para más información sobre la nota de prensa, resolver dudas o gestionar entrevistas</w:t>
      </w:r>
    </w:p>
    <w:p w:rsidR="00C54546" w:rsidRDefault="0045491F" w14:paraId="0000001E" w14:textId="77777777">
      <w:pPr>
        <w:jc w:val="both"/>
        <w:rPr>
          <w:rFonts w:ascii="Roboto" w:hAnsi="Roboto" w:eastAsia="Roboto" w:cs="Roboto"/>
          <w:sz w:val="22"/>
          <w:szCs w:val="22"/>
        </w:rPr>
      </w:pPr>
      <w:r>
        <w:rPr>
          <w:rFonts w:ascii="Roboto" w:hAnsi="Roboto" w:eastAsia="Roboto" w:cs="Roboto"/>
          <w:sz w:val="22"/>
          <w:szCs w:val="22"/>
        </w:rPr>
        <w:t>Eva Martín</w:t>
      </w:r>
    </w:p>
    <w:p w:rsidR="00C54546" w:rsidRDefault="0045491F" w14:paraId="0000001F" w14:textId="77777777">
      <w:pPr>
        <w:jc w:val="both"/>
        <w:rPr>
          <w:rFonts w:ascii="Calibri" w:hAnsi="Calibri" w:eastAsia="Calibri" w:cs="Calibri"/>
          <w:highlight w:val="white"/>
        </w:rPr>
      </w:pPr>
      <w:r>
        <w:rPr>
          <w:rFonts w:ascii="Roboto" w:hAnsi="Roboto" w:eastAsia="Roboto" w:cs="Roboto"/>
          <w:sz w:val="22"/>
          <w:szCs w:val="22"/>
        </w:rPr>
        <w:t xml:space="preserve">Tfno. 628 17 49 01 / </w:t>
      </w:r>
      <w:r>
        <w:rPr>
          <w:rFonts w:ascii="Roboto" w:hAnsi="Roboto" w:eastAsia="Roboto" w:cs="Roboto"/>
          <w:color w:val="E83544"/>
          <w:sz w:val="22"/>
          <w:szCs w:val="22"/>
        </w:rPr>
        <w:t xml:space="preserve"> </w:t>
      </w:r>
      <w:hyperlink r:id="rId19">
        <w:r>
          <w:rPr>
            <w:rFonts w:ascii="Roboto" w:hAnsi="Roboto" w:eastAsia="Roboto" w:cs="Roboto"/>
            <w:color w:val="E83544"/>
            <w:sz w:val="22"/>
            <w:szCs w:val="22"/>
            <w:u w:val="single"/>
          </w:rPr>
          <w:t>evamc@varenga.es</w:t>
        </w:r>
      </w:hyperlink>
      <w:r>
        <w:rPr>
          <w:rFonts w:ascii="Calibri" w:hAnsi="Calibri" w:eastAsia="Calibri" w:cs="Calibri"/>
          <w:b/>
          <w:sz w:val="22"/>
          <w:szCs w:val="22"/>
          <w:u w:val="single"/>
        </w:rPr>
        <w:t xml:space="preserve"> </w:t>
      </w:r>
    </w:p>
    <w:sectPr w:rsidR="00C54546">
      <w:headerReference w:type="default" r:id="rId20"/>
      <w:footerReference w:type="default" r:id="rId21"/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491F" w:rsidRDefault="0045491F" w14:paraId="16B8FF87" w14:textId="77777777">
      <w:r>
        <w:separator/>
      </w:r>
    </w:p>
  </w:endnote>
  <w:endnote w:type="continuationSeparator" w:id="0">
    <w:p w:rsidR="0045491F" w:rsidRDefault="0045491F" w14:paraId="097AC4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546" w:rsidRDefault="0045491F" w14:paraId="00000023" w14:textId="0C6EE1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32F8">
      <w:rPr>
        <w:noProof/>
        <w:color w:val="000000"/>
      </w:rPr>
      <w:t>1</w:t>
    </w:r>
    <w:r>
      <w:rPr>
        <w:color w:val="000000"/>
      </w:rPr>
      <w:fldChar w:fldCharType="end"/>
    </w:r>
  </w:p>
  <w:p w:rsidR="00C54546" w:rsidRDefault="00C54546" w14:paraId="0000002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491F" w:rsidRDefault="0045491F" w14:paraId="692E5703" w14:textId="77777777">
      <w:r>
        <w:separator/>
      </w:r>
    </w:p>
  </w:footnote>
  <w:footnote w:type="continuationSeparator" w:id="0">
    <w:p w:rsidR="0045491F" w:rsidRDefault="0045491F" w14:paraId="22E962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54546" w:rsidRDefault="0045491F" w14:paraId="00000020" w14:textId="77777777">
    <w:pPr>
      <w:ind w:left="-120"/>
      <w:jc w:val="both"/>
      <w:rPr>
        <w:rFonts w:ascii="Calibri" w:hAnsi="Calibri" w:eastAsia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B987AAE" wp14:editId="07777777">
          <wp:simplePos x="0" y="0"/>
          <wp:positionH relativeFrom="column">
            <wp:posOffset>4114800</wp:posOffset>
          </wp:positionH>
          <wp:positionV relativeFrom="paragraph">
            <wp:posOffset>-304792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4546" w:rsidRDefault="0045491F" w14:paraId="00000021" w14:textId="77777777">
    <w:pPr>
      <w:ind w:left="-120"/>
      <w:jc w:val="both"/>
      <w:rPr>
        <w:rFonts w:ascii="Nunito" w:hAnsi="Nunito" w:eastAsia="Nunito" w:cs="Nunito"/>
        <w:sz w:val="22"/>
        <w:szCs w:val="22"/>
      </w:rPr>
    </w:pPr>
    <w:r>
      <w:rPr>
        <w:rFonts w:ascii="Nunito" w:hAnsi="Nunito" w:eastAsia="Nunito" w:cs="Nunito"/>
        <w:b/>
        <w:sz w:val="40"/>
        <w:szCs w:val="40"/>
      </w:rPr>
      <w:t>NOTA DE PRENSA</w:t>
    </w:r>
    <w:r>
      <w:rPr>
        <w:rFonts w:ascii="Nunito" w:hAnsi="Nunito" w:eastAsia="Nunito" w:cs="Nunito"/>
        <w:sz w:val="22"/>
        <w:szCs w:val="22"/>
      </w:rPr>
      <w:t xml:space="preserve"> </w:t>
    </w:r>
  </w:p>
  <w:p w:rsidR="00C54546" w:rsidRDefault="00C54546" w14:paraId="00000022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F2FCD"/>
    <w:multiLevelType w:val="multilevel"/>
    <w:tmpl w:val="CFCEB39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085666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trackRevisions w:val="tru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3DCFF6"/>
    <w:rsid w:val="001522A7"/>
    <w:rsid w:val="001D5232"/>
    <w:rsid w:val="0045491F"/>
    <w:rsid w:val="00583C61"/>
    <w:rsid w:val="00C54546"/>
    <w:rsid w:val="00D232F8"/>
    <w:rsid w:val="1A039D2B"/>
    <w:rsid w:val="3090EFFF"/>
    <w:rsid w:val="33B85209"/>
    <w:rsid w:val="4E915C5E"/>
    <w:rsid w:val="5E3DCFF6"/>
    <w:rsid w:val="7F6BF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0AE3"/>
  <w15:docId w15:val="{52A42D69-0792-4741-B1D0-F9F59980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1D5232"/>
  </w:style>
  <w:style w:type="character" w:styleId="Refdecomentario">
    <w:name w:val="annotation reference"/>
    <w:basedOn w:val="Fuentedeprrafopredeter"/>
    <w:uiPriority w:val="99"/>
    <w:semiHidden/>
    <w:unhideWhenUsed/>
    <w:rsid w:val="001522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22A7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1522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2A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522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image" Target="media/image2.png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webSettings" Target="webSettings.xml" Id="rId7" /><Relationship Type="http://schemas.openxmlformats.org/officeDocument/2006/relationships/image" Target="media/image1.png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microsoft.com/office/2011/relationships/people" Target="people.xml" Id="rId23" /><Relationship Type="http://schemas.openxmlformats.org/officeDocument/2006/relationships/hyperlink" Target="mailto:evamc@varenga.es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Relationship Type="http://schemas.openxmlformats.org/officeDocument/2006/relationships/fontTable" Target="fontTable.xml" Id="rId22" /><Relationship Type="http://schemas.openxmlformats.org/officeDocument/2006/relationships/hyperlink" Target="https://www.enac.es/" TargetMode="External" Id="R4b40ff340e3b4de1" /><Relationship Type="http://schemas.openxmlformats.org/officeDocument/2006/relationships/hyperlink" Target="https://www.bms.com/es" TargetMode="External" Id="R0137a0c970da4d78" /><Relationship Type="http://schemas.openxmlformats.org/officeDocument/2006/relationships/hyperlink" Target="http://www.enac.es" TargetMode="External" Id="R1ab0dd2776184d4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AFF2B4-A91E-4FF4-801D-3ADA131E6ACC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customXml/itemProps2.xml><?xml version="1.0" encoding="utf-8"?>
<ds:datastoreItem xmlns:ds="http://schemas.openxmlformats.org/officeDocument/2006/customXml" ds:itemID="{63431FA8-0DB0-4088-92B6-44A2B3990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C6B31-2672-4D77-8F69-DC454ABA5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Eva Martín</lastModifiedBy>
  <revision>7</revision>
  <dcterms:created xsi:type="dcterms:W3CDTF">2022-07-11T06:27:00.0000000Z</dcterms:created>
  <dcterms:modified xsi:type="dcterms:W3CDTF">2022-07-12T07:55:56.7129134Z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