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4F68" w14:textId="77777777" w:rsidR="001C5A58" w:rsidRDefault="001C5A58" w:rsidP="001C5A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5EAAE550" w14:textId="77777777" w:rsidR="006C22E2" w:rsidRDefault="006C22E2" w:rsidP="004F59CA">
      <w:pPr>
        <w:pStyle w:val="Sinespaciado"/>
        <w:jc w:val="center"/>
        <w:rPr>
          <w:rFonts w:asciiTheme="minorHAnsi" w:hAnsiTheme="minorHAnsi"/>
          <w:b/>
          <w:sz w:val="36"/>
          <w:szCs w:val="36"/>
        </w:rPr>
      </w:pPr>
    </w:p>
    <w:p w14:paraId="2BA3705F" w14:textId="41A3B415" w:rsidR="00172388" w:rsidRPr="00172388" w:rsidRDefault="00172388" w:rsidP="00172388">
      <w:pPr>
        <w:pStyle w:val="Sinespaciado"/>
        <w:jc w:val="center"/>
        <w:rPr>
          <w:rFonts w:asciiTheme="minorHAnsi" w:hAnsiTheme="minorHAnsi"/>
          <w:b/>
          <w:sz w:val="36"/>
          <w:szCs w:val="36"/>
        </w:rPr>
      </w:pPr>
      <w:r w:rsidRPr="00172388">
        <w:rPr>
          <w:rFonts w:asciiTheme="minorHAnsi" w:hAnsiTheme="minorHAnsi"/>
          <w:b/>
          <w:sz w:val="36"/>
          <w:szCs w:val="36"/>
        </w:rPr>
        <w:t xml:space="preserve">EMS Brüel &amp; Kjaer, primer laboratorio acreditado </w:t>
      </w:r>
      <w:r>
        <w:rPr>
          <w:rFonts w:asciiTheme="minorHAnsi" w:hAnsiTheme="minorHAnsi"/>
          <w:b/>
          <w:sz w:val="36"/>
          <w:szCs w:val="36"/>
        </w:rPr>
        <w:t xml:space="preserve">por ENAC </w:t>
      </w:r>
      <w:r w:rsidRPr="00172388">
        <w:rPr>
          <w:rFonts w:asciiTheme="minorHAnsi" w:hAnsiTheme="minorHAnsi"/>
          <w:b/>
          <w:sz w:val="36"/>
          <w:szCs w:val="36"/>
        </w:rPr>
        <w:t>en el mundo para el control del ruido de aeronaves en entornos aeroportuarios</w:t>
      </w:r>
    </w:p>
    <w:p w14:paraId="5F2B396C" w14:textId="77777777" w:rsidR="0010624D" w:rsidRPr="00B44435" w:rsidRDefault="0010624D" w:rsidP="00B44435">
      <w:pPr>
        <w:jc w:val="center"/>
        <w:rPr>
          <w:rFonts w:asciiTheme="minorHAnsi" w:hAnsiTheme="minorHAnsi"/>
          <w:b/>
          <w:bCs/>
          <w:color w:val="212121"/>
          <w:sz w:val="40"/>
          <w:szCs w:val="40"/>
          <w:shd w:val="clear" w:color="auto" w:fill="FFFFFF"/>
        </w:rPr>
      </w:pPr>
    </w:p>
    <w:p w14:paraId="781622A9" w14:textId="208F9F2A" w:rsidR="00091E92" w:rsidRPr="00172388" w:rsidRDefault="00172388" w:rsidP="00172388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172388">
        <w:rPr>
          <w:rFonts w:asciiTheme="minorHAnsi" w:hAnsiTheme="minorHAnsi" w:cs="Arial"/>
          <w:sz w:val="22"/>
          <w:szCs w:val="22"/>
        </w:rPr>
        <w:t>Este tipo de ensayos acreditados generan un impacto notable en términ</w:t>
      </w:r>
      <w:r>
        <w:rPr>
          <w:rFonts w:asciiTheme="minorHAnsi" w:hAnsiTheme="minorHAnsi" w:cs="Arial"/>
          <w:sz w:val="22"/>
          <w:szCs w:val="22"/>
        </w:rPr>
        <w:t>os de protección medioambiental</w:t>
      </w:r>
    </w:p>
    <w:p w14:paraId="40D9C867" w14:textId="77777777" w:rsidR="00172388" w:rsidRPr="00172388" w:rsidRDefault="00172388" w:rsidP="00172388">
      <w:pPr>
        <w:pStyle w:val="Prrafodelista"/>
        <w:rPr>
          <w:rFonts w:asciiTheme="minorHAnsi" w:hAnsiTheme="minorHAnsi" w:cstheme="minorHAnsi"/>
          <w:b/>
          <w:bCs/>
          <w:strike/>
          <w:sz w:val="22"/>
          <w:szCs w:val="22"/>
        </w:rPr>
      </w:pPr>
    </w:p>
    <w:p w14:paraId="5CE54B28" w14:textId="32072CCF" w:rsidR="00172388" w:rsidRPr="00172388" w:rsidRDefault="00172388" w:rsidP="0017238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21 de noviembre </w:t>
      </w:r>
      <w:r w:rsidR="00091E92" w:rsidRPr="00172388">
        <w:rPr>
          <w:rFonts w:asciiTheme="minorHAnsi" w:hAnsiTheme="minorHAnsi"/>
          <w:sz w:val="22"/>
          <w:szCs w:val="22"/>
        </w:rPr>
        <w:t>de 2018</w:t>
      </w:r>
      <w:r w:rsidR="00091E92" w:rsidRPr="0002615F">
        <w:rPr>
          <w:rFonts w:asciiTheme="minorHAnsi" w:hAnsiTheme="minorHAnsi"/>
          <w:sz w:val="22"/>
          <w:szCs w:val="22"/>
        </w:rPr>
        <w:t xml:space="preserve">.- </w:t>
      </w:r>
      <w:r w:rsidRPr="0002615F">
        <w:rPr>
          <w:rFonts w:asciiTheme="minorHAnsi" w:hAnsiTheme="minorHAnsi"/>
          <w:sz w:val="22"/>
          <w:szCs w:val="22"/>
        </w:rPr>
        <w:t xml:space="preserve">La </w:t>
      </w:r>
      <w:hyperlink r:id="rId9" w:history="1">
        <w:r w:rsidRPr="0002615F">
          <w:rPr>
            <w:rStyle w:val="Hipervnculo"/>
            <w:rFonts w:asciiTheme="minorHAnsi" w:hAnsiTheme="minorHAnsi"/>
            <w:b/>
            <w:sz w:val="22"/>
            <w:szCs w:val="22"/>
          </w:rPr>
          <w:t>Entidad Nacional de Acreditación</w:t>
        </w:r>
      </w:hyperlink>
      <w:r w:rsidRPr="0002615F">
        <w:rPr>
          <w:rFonts w:asciiTheme="minorHAnsi" w:hAnsiTheme="minorHAnsi"/>
          <w:sz w:val="22"/>
          <w:szCs w:val="22"/>
        </w:rPr>
        <w:t xml:space="preserve"> (ENAC) ha otorgado al </w:t>
      </w:r>
      <w:r w:rsidRPr="0002615F">
        <w:rPr>
          <w:rFonts w:asciiTheme="minorHAnsi" w:hAnsiTheme="minorHAnsi" w:cs="Arial"/>
          <w:sz w:val="22"/>
          <w:szCs w:val="22"/>
        </w:rPr>
        <w:t xml:space="preserve"> Laboratorio de Monitorado de EMS Brüel &amp; Kjaer la primera acreditación para realizar ensayos </w:t>
      </w:r>
      <w:r w:rsidRPr="00172388">
        <w:rPr>
          <w:rFonts w:asciiTheme="minorHAnsi" w:hAnsiTheme="minorHAnsi" w:cs="Arial"/>
          <w:sz w:val="22"/>
          <w:szCs w:val="22"/>
        </w:rPr>
        <w:t>de monitorización de los niveles de ruido ambiental en el entorno aeroportuario según la norma ISO 20906, en concreto de los aeropuertos Adolfo Suárez Madrid-Barajas y Barcelona-El Prat, gestionados por AENA. Se trata de una primera acreditación no solo a nivel nacional, sino también internacional, ya que el laboratorio es pionero en desarrollar esta actividad de manera acreditada en todo el mundo.</w:t>
      </w:r>
    </w:p>
    <w:p w14:paraId="415939EE" w14:textId="77777777" w:rsidR="00172388" w:rsidRPr="00172388" w:rsidRDefault="00172388" w:rsidP="00172388">
      <w:pPr>
        <w:jc w:val="both"/>
        <w:rPr>
          <w:rFonts w:asciiTheme="minorHAnsi" w:hAnsiTheme="minorHAnsi" w:cs="Arial"/>
          <w:sz w:val="22"/>
          <w:szCs w:val="22"/>
        </w:rPr>
      </w:pPr>
    </w:p>
    <w:p w14:paraId="638129BA" w14:textId="77777777" w:rsidR="00172388" w:rsidRPr="00172388" w:rsidRDefault="00172388" w:rsidP="00172388">
      <w:pPr>
        <w:pStyle w:val="NormalWeb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172388">
        <w:rPr>
          <w:rFonts w:asciiTheme="minorHAnsi" w:hAnsiTheme="minorHAnsi" w:cs="Arial"/>
          <w:sz w:val="22"/>
          <w:szCs w:val="22"/>
        </w:rPr>
        <w:t>El ensayo acreditado consiste en determinar el ruido producido por los aviones en el entorno de un aeropuerto conforme a la norma internacional ISO 20906. Para ello, el laboratorio cuenta con una red de estaciones fijas de medida de niveles sonoros y condiciones meteorológicas o TMRs (Terminales de Monitorado de Ruido), que se ubican en puntos estratégicos en las inmediaciones del aeropuerto o en localidades próximas, por las que sobrevuelan los aviones en sus operaciones de despegue y aterrizaje. Estas terminales remiten telemáticamente los resultados de medición para ser recibidos, finalmente, en los servidores de cada aeropuerto.</w:t>
      </w:r>
    </w:p>
    <w:p w14:paraId="6D2AA97F" w14:textId="77777777" w:rsidR="00172388" w:rsidRPr="00172388" w:rsidRDefault="00172388" w:rsidP="00172388">
      <w:pPr>
        <w:pStyle w:val="NormalWeb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172388">
        <w:rPr>
          <w:rFonts w:asciiTheme="minorHAnsi" w:hAnsiTheme="minorHAnsi" w:cs="Arial"/>
          <w:sz w:val="22"/>
          <w:szCs w:val="22"/>
        </w:rPr>
        <w:t>Este tipo de ensayos acreditados generan un impacto notable en términos de protección medioambiental. María Jesús Ballesteros, Directora Técnica del laboratorio de monitorado de EMS Brüel &amp; Kjaer, explica que “son una herramienta de información pública y vigilancia de los niveles de contaminación acústica producidos por las operaciones aeronáuticas en el entorno de los aeropuertos.”</w:t>
      </w:r>
    </w:p>
    <w:p w14:paraId="18B560AE" w14:textId="77777777" w:rsidR="00172388" w:rsidRPr="00172388" w:rsidRDefault="00172388" w:rsidP="00172388">
      <w:pPr>
        <w:pStyle w:val="NormalWeb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172388">
        <w:rPr>
          <w:rFonts w:asciiTheme="minorHAnsi" w:hAnsiTheme="minorHAnsi" w:cs="Arial"/>
          <w:sz w:val="22"/>
          <w:szCs w:val="22"/>
        </w:rPr>
        <w:t>Además, añade, que “la acreditación ha supuesto una garantía en la calidad de los ensayos, avalada por una entidad externa a la propia empresa, lo que supone un aumento en la calidad y la confianza en los resultados para terceras partes.”</w:t>
      </w:r>
    </w:p>
    <w:p w14:paraId="1FBCA8C3" w14:textId="4820CBA5" w:rsidR="003A1DCD" w:rsidRPr="00160CF7" w:rsidRDefault="003A1DCD" w:rsidP="00172388">
      <w:pPr>
        <w:spacing w:after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60CF7">
        <w:rPr>
          <w:rFonts w:asciiTheme="minorHAnsi" w:hAnsiTheme="minorHAnsi"/>
          <w:b/>
          <w:sz w:val="22"/>
          <w:szCs w:val="22"/>
          <w:u w:val="single"/>
        </w:rPr>
        <w:t>Garantías de los laboratorios acreditados</w:t>
      </w:r>
    </w:p>
    <w:p w14:paraId="3E5E0F45" w14:textId="5D44C677" w:rsidR="003A1DCD" w:rsidRPr="00160CF7" w:rsidRDefault="003A1DCD" w:rsidP="003A1DCD">
      <w:pPr>
        <w:pStyle w:val="Sinespaciad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60CF7">
        <w:rPr>
          <w:rFonts w:asciiTheme="minorHAnsi" w:hAnsiTheme="minorHAnsi"/>
          <w:sz w:val="22"/>
          <w:szCs w:val="22"/>
        </w:rPr>
        <w:t xml:space="preserve">La acreditación de ENAC </w:t>
      </w:r>
      <w:r w:rsidRPr="00160CF7">
        <w:rPr>
          <w:rFonts w:asciiTheme="minorHAnsi" w:eastAsiaTheme="minorHAnsi" w:hAnsiTheme="minorHAnsi" w:cstheme="minorBidi"/>
          <w:sz w:val="22"/>
          <w:szCs w:val="22"/>
        </w:rPr>
        <w:t xml:space="preserve">constata la competencia técnica </w:t>
      </w:r>
      <w:r w:rsidR="00172388">
        <w:rPr>
          <w:rFonts w:asciiTheme="minorHAnsi" w:eastAsiaTheme="minorHAnsi" w:hAnsiTheme="minorHAnsi" w:cstheme="minorBidi"/>
          <w:sz w:val="22"/>
          <w:szCs w:val="22"/>
        </w:rPr>
        <w:t>del laboratorio</w:t>
      </w:r>
      <w:r w:rsidRPr="00160CF7">
        <w:rPr>
          <w:rFonts w:asciiTheme="minorHAnsi" w:eastAsiaTheme="minorHAnsi" w:hAnsiTheme="minorHAnsi" w:cstheme="minorBidi"/>
          <w:sz w:val="22"/>
          <w:szCs w:val="22"/>
        </w:rPr>
        <w:t xml:space="preserve"> frente a este tipo de ensayos, lo que supone, entre otros, que el laboratorio dispone de personal cualificado, que cuenta con las instalaciones y los equipos necesarios, que estos equipos están calibrados y adecuadamente mantenidos, que sus ensayos o calibraciones se ejecutan utilizando métodos y procedimientos técnicamente válidos, y que su actividad está sometida a un estricto control de calidad. </w:t>
      </w:r>
    </w:p>
    <w:p w14:paraId="397C9D2A" w14:textId="77777777" w:rsidR="003A1DCD" w:rsidRPr="00160CF7" w:rsidRDefault="003A1DCD" w:rsidP="003A1DC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7CA61897" w14:textId="77777777" w:rsidR="003A1DCD" w:rsidRPr="00160CF7" w:rsidRDefault="003A1DCD" w:rsidP="003A1DC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160CF7">
        <w:rPr>
          <w:rFonts w:asciiTheme="minorHAnsi" w:hAnsiTheme="minorHAnsi"/>
          <w:sz w:val="22"/>
          <w:szCs w:val="22"/>
        </w:rPr>
        <w:t>Todo ello se lo han demostrado a ENAC, el único organismo designado en España para realizar este tipo de evaluaciones, mediante un riguroso proceso de auditoría en el que intervienen expertos técnicos en cada área técnica acreditada y de acuerdo a criterios establecidos y reconocidos internacionalmente.</w:t>
      </w:r>
    </w:p>
    <w:p w14:paraId="0B0A4BE0" w14:textId="77777777" w:rsidR="003A1DCD" w:rsidRPr="00160CF7" w:rsidRDefault="003A1DCD" w:rsidP="003A1DCD">
      <w:pPr>
        <w:jc w:val="both"/>
        <w:rPr>
          <w:rFonts w:asciiTheme="minorHAnsi" w:hAnsiTheme="minorHAnsi"/>
          <w:sz w:val="22"/>
          <w:szCs w:val="22"/>
        </w:rPr>
      </w:pPr>
    </w:p>
    <w:p w14:paraId="2E82F9BF" w14:textId="77777777" w:rsidR="00091E92" w:rsidRDefault="00091E92" w:rsidP="00091E9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6DC43BA" w14:textId="77777777" w:rsidR="003A1DCD" w:rsidRDefault="003A1DCD" w:rsidP="004F59C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B1F1270" w14:textId="77777777" w:rsidR="003A1DCD" w:rsidRDefault="003A1DCD" w:rsidP="004F59C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212FA53" w14:textId="77777777" w:rsidR="003A1DCD" w:rsidRDefault="003A1DCD" w:rsidP="004F59C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2FD662B" w14:textId="77777777" w:rsidR="004F59CA" w:rsidRPr="006C22E2" w:rsidRDefault="004F59CA" w:rsidP="004F59C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C22E2">
        <w:rPr>
          <w:rFonts w:asciiTheme="minorHAnsi" w:hAnsiTheme="minorHAnsi"/>
          <w:b/>
          <w:sz w:val="22"/>
          <w:szCs w:val="22"/>
          <w:u w:val="single"/>
        </w:rPr>
        <w:t>Sobre ENAC</w:t>
      </w:r>
    </w:p>
    <w:p w14:paraId="541CC943" w14:textId="77777777" w:rsidR="004F59CA" w:rsidRPr="006C22E2" w:rsidRDefault="004F59CA" w:rsidP="004F59CA">
      <w:pPr>
        <w:jc w:val="both"/>
        <w:rPr>
          <w:rFonts w:asciiTheme="minorHAnsi" w:hAnsiTheme="minorHAnsi"/>
          <w:b/>
          <w:sz w:val="22"/>
          <w:szCs w:val="22"/>
        </w:rPr>
      </w:pPr>
    </w:p>
    <w:p w14:paraId="0E4564B4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14:paraId="17350225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color w:val="1F497D"/>
          <w:sz w:val="22"/>
          <w:szCs w:val="22"/>
        </w:rPr>
        <w:t> </w:t>
      </w:r>
    </w:p>
    <w:p w14:paraId="679FF41F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Agricultura y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7E652951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 </w:t>
      </w:r>
    </w:p>
    <w:p w14:paraId="09EF0363" w14:textId="431C7682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</w:t>
      </w:r>
      <w:r w:rsidR="00172388">
        <w:rPr>
          <w:rFonts w:asciiTheme="minorHAnsi" w:hAnsiTheme="minorHAnsi"/>
          <w:sz w:val="22"/>
          <w:szCs w:val="22"/>
        </w:rPr>
        <w:t>100</w:t>
      </w:r>
      <w:r w:rsidRPr="006C22E2">
        <w:rPr>
          <w:rFonts w:asciiTheme="minorHAnsi" w:hAnsiTheme="minorHAnsi"/>
          <w:sz w:val="22"/>
          <w:szCs w:val="22"/>
        </w:rPr>
        <w:t xml:space="preserve"> países en los que la marca de ENAC es reconocida y aceptada gracias a los acuerdos de reconocimiento que ENAC ha suscrito con las entidades de acreditación de esos países.</w:t>
      </w:r>
    </w:p>
    <w:p w14:paraId="4BBFE62F" w14:textId="77777777" w:rsidR="006C22E2" w:rsidRPr="006C22E2" w:rsidRDefault="006C22E2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9C21BD0" w14:textId="77777777" w:rsidR="004F59CA" w:rsidRPr="006C22E2" w:rsidRDefault="00FC2701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="004F59CA" w:rsidRPr="006C22E2">
          <w:rPr>
            <w:rStyle w:val="Hipervnculo"/>
            <w:rFonts w:asciiTheme="minorHAnsi" w:hAnsiTheme="minorHAnsi"/>
            <w:sz w:val="22"/>
            <w:szCs w:val="22"/>
          </w:rPr>
          <w:t>www.enac.es</w:t>
        </w:r>
      </w:hyperlink>
      <w:r w:rsidR="004F59CA" w:rsidRPr="006C22E2">
        <w:rPr>
          <w:rFonts w:asciiTheme="minorHAnsi" w:hAnsiTheme="minorHAnsi"/>
          <w:sz w:val="22"/>
          <w:szCs w:val="22"/>
        </w:rPr>
        <w:t xml:space="preserve"> </w:t>
      </w:r>
    </w:p>
    <w:p w14:paraId="76B1AA70" w14:textId="46645955" w:rsidR="004F59CA" w:rsidRPr="006C22E2" w:rsidRDefault="004F59CA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D96251" wp14:editId="34AC05B9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3" name="Imagen 3" descr="Resultado de imagen de icono linked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linked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9D922C" wp14:editId="634D1A05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9063"/>
                <wp:lineTo x="20424" y="0"/>
                <wp:lineTo x="0" y="0"/>
              </wp:wrapPolygon>
            </wp:wrapTight>
            <wp:docPr id="2" name="Imagen 2" descr="Resultado de imagen de icono twit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cono twit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48D84" w14:textId="77777777" w:rsidR="004F59CA" w:rsidRPr="006C22E2" w:rsidRDefault="004F59CA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1315BA20" w14:textId="77777777" w:rsidR="004F59CA" w:rsidRPr="006C22E2" w:rsidRDefault="004F59CA" w:rsidP="004F59CA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439227CE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2AB6EAA1" w14:textId="77777777" w:rsidR="0010624D" w:rsidRDefault="0010624D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590DDCEE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Para más información sobre la nota de prensa, resolver dudas o gestionar entrevistas</w:t>
      </w:r>
    </w:p>
    <w:p w14:paraId="03E1812A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Eva Martín</w:t>
      </w:r>
    </w:p>
    <w:p w14:paraId="7D24CE8B" w14:textId="77777777" w:rsidR="004F59CA" w:rsidRPr="006C22E2" w:rsidRDefault="004F59CA" w:rsidP="004F59CA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 xml:space="preserve">Tfno. 628 17 49 01 /  </w:t>
      </w:r>
      <w:hyperlink r:id="rId17" w:history="1">
        <w:r w:rsidRPr="006C22E2">
          <w:rPr>
            <w:rStyle w:val="Hipervnculo"/>
            <w:rFonts w:asciiTheme="minorHAnsi" w:hAnsiTheme="minorHAnsi"/>
            <w:sz w:val="22"/>
            <w:szCs w:val="22"/>
          </w:rPr>
          <w:t>evamc@varenga.es</w:t>
        </w:r>
      </w:hyperlink>
    </w:p>
    <w:p w14:paraId="5F7D57DF" w14:textId="77777777" w:rsidR="004F59CA" w:rsidRPr="004F59CA" w:rsidRDefault="004F59CA" w:rsidP="004F59CA">
      <w:pPr>
        <w:pStyle w:val="Sinespaciado"/>
        <w:jc w:val="both"/>
        <w:rPr>
          <w:rFonts w:asciiTheme="minorHAnsi" w:hAnsiTheme="minorHAnsi"/>
        </w:rPr>
      </w:pPr>
    </w:p>
    <w:sectPr w:rsidR="004F59CA" w:rsidRPr="004F59CA" w:rsidSect="00855A5A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69B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69B1C" w16cid:durableId="1F0C59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52E3E" w14:textId="77777777" w:rsidR="00FC2701" w:rsidRDefault="00FC2701" w:rsidP="004A3521">
      <w:r>
        <w:separator/>
      </w:r>
    </w:p>
  </w:endnote>
  <w:endnote w:type="continuationSeparator" w:id="0">
    <w:p w14:paraId="63E47B54" w14:textId="77777777" w:rsidR="00FC2701" w:rsidRDefault="00FC2701" w:rsidP="004A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079D6" w14:textId="77777777" w:rsidR="00B14A71" w:rsidRDefault="00B14A71">
    <w:pPr>
      <w:pStyle w:val="Piedepgina"/>
    </w:pPr>
  </w:p>
  <w:p w14:paraId="2B6ED9B0" w14:textId="77777777" w:rsidR="00B14A71" w:rsidRDefault="00B14A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F08D2" w14:textId="77777777" w:rsidR="00FC2701" w:rsidRDefault="00FC2701" w:rsidP="004A3521">
      <w:r>
        <w:separator/>
      </w:r>
    </w:p>
  </w:footnote>
  <w:footnote w:type="continuationSeparator" w:id="0">
    <w:p w14:paraId="002D4DCB" w14:textId="77777777" w:rsidR="00FC2701" w:rsidRDefault="00FC2701" w:rsidP="004A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0140" w14:textId="4EA1CA83" w:rsidR="004F59CA" w:rsidRPr="004F59CA" w:rsidRDefault="004F59CA" w:rsidP="004F59CA">
    <w:pPr>
      <w:pStyle w:val="Encabezado"/>
      <w:rPr>
        <w:rFonts w:asciiTheme="minorHAnsi" w:hAnsiTheme="minorHAnsi"/>
        <w:b/>
        <w:sz w:val="40"/>
        <w:szCs w:val="40"/>
      </w:rPr>
    </w:pPr>
    <w:r w:rsidRPr="004F59CA">
      <w:rPr>
        <w:rFonts w:asciiTheme="minorHAnsi" w:hAnsiTheme="minorHAnsi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4EF7D7E" wp14:editId="52CE47B5">
          <wp:simplePos x="0" y="0"/>
          <wp:positionH relativeFrom="column">
            <wp:posOffset>4530090</wp:posOffset>
          </wp:positionH>
          <wp:positionV relativeFrom="paragraph">
            <wp:posOffset>-297180</wp:posOffset>
          </wp:positionV>
          <wp:extent cx="1324610" cy="733425"/>
          <wp:effectExtent l="0" t="0" r="8890" b="9525"/>
          <wp:wrapTight wrapText="bothSides">
            <wp:wrapPolygon edited="0">
              <wp:start x="9319" y="0"/>
              <wp:lineTo x="6834" y="2244"/>
              <wp:lineTo x="621" y="8416"/>
              <wp:lineTo x="0" y="18514"/>
              <wp:lineTo x="0" y="21319"/>
              <wp:lineTo x="21434" y="21319"/>
              <wp:lineTo x="21434" y="18514"/>
              <wp:lineTo x="21124" y="8416"/>
              <wp:lineTo x="16775" y="4488"/>
              <wp:lineTo x="11494" y="0"/>
              <wp:lineTo x="9319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9CA">
      <w:rPr>
        <w:rFonts w:asciiTheme="minorHAnsi" w:hAnsiTheme="minorHAnsi"/>
        <w:b/>
        <w:sz w:val="40"/>
        <w:szCs w:val="40"/>
      </w:rPr>
      <w:t>NOTA DE PRENSA</w:t>
    </w:r>
  </w:p>
  <w:p w14:paraId="2967B68D" w14:textId="77777777" w:rsidR="004F59CA" w:rsidRDefault="004F59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C84"/>
    <w:multiLevelType w:val="hybridMultilevel"/>
    <w:tmpl w:val="444804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B26"/>
    <w:multiLevelType w:val="hybridMultilevel"/>
    <w:tmpl w:val="B7801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C0911"/>
    <w:multiLevelType w:val="hybridMultilevel"/>
    <w:tmpl w:val="08503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919"/>
    <w:multiLevelType w:val="hybridMultilevel"/>
    <w:tmpl w:val="1174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31C17"/>
    <w:multiLevelType w:val="hybridMultilevel"/>
    <w:tmpl w:val="1A707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41237"/>
    <w:multiLevelType w:val="hybridMultilevel"/>
    <w:tmpl w:val="D7849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7182"/>
    <w:multiLevelType w:val="hybridMultilevel"/>
    <w:tmpl w:val="963C0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136F0"/>
    <w:multiLevelType w:val="hybridMultilevel"/>
    <w:tmpl w:val="B9883E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6A713B"/>
    <w:multiLevelType w:val="hybridMultilevel"/>
    <w:tmpl w:val="547C6C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523072"/>
    <w:multiLevelType w:val="hybridMultilevel"/>
    <w:tmpl w:val="92C4F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60786"/>
    <w:multiLevelType w:val="hybridMultilevel"/>
    <w:tmpl w:val="96BC2B0A"/>
    <w:lvl w:ilvl="0" w:tplc="605073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940419"/>
    <w:multiLevelType w:val="multilevel"/>
    <w:tmpl w:val="DD3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973D2"/>
    <w:multiLevelType w:val="hybridMultilevel"/>
    <w:tmpl w:val="22240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915CF"/>
    <w:multiLevelType w:val="hybridMultilevel"/>
    <w:tmpl w:val="921CB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774F7"/>
    <w:multiLevelType w:val="multilevel"/>
    <w:tmpl w:val="FD2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5450B"/>
    <w:multiLevelType w:val="hybridMultilevel"/>
    <w:tmpl w:val="1102E7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221F8"/>
    <w:multiLevelType w:val="hybridMultilevel"/>
    <w:tmpl w:val="D7243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E56CA"/>
    <w:multiLevelType w:val="hybridMultilevel"/>
    <w:tmpl w:val="8EF24B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6082A"/>
    <w:multiLevelType w:val="hybridMultilevel"/>
    <w:tmpl w:val="9DD47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F46E0"/>
    <w:multiLevelType w:val="hybridMultilevel"/>
    <w:tmpl w:val="90EC3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22561"/>
    <w:multiLevelType w:val="hybridMultilevel"/>
    <w:tmpl w:val="83D86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1DFE"/>
    <w:multiLevelType w:val="hybridMultilevel"/>
    <w:tmpl w:val="7DC46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0"/>
  </w:num>
  <w:num w:numId="5">
    <w:abstractNumId w:val="14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1"/>
  </w:num>
  <w:num w:numId="11">
    <w:abstractNumId w:val="19"/>
  </w:num>
  <w:num w:numId="12">
    <w:abstractNumId w:val="15"/>
  </w:num>
  <w:num w:numId="13">
    <w:abstractNumId w:val="15"/>
  </w:num>
  <w:num w:numId="14">
    <w:abstractNumId w:val="2"/>
  </w:num>
  <w:num w:numId="15">
    <w:abstractNumId w:val="20"/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3"/>
  </w:num>
  <w:num w:numId="21">
    <w:abstractNumId w:val="6"/>
  </w:num>
  <w:num w:numId="22">
    <w:abstractNumId w:val="9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3A"/>
    <w:rsid w:val="000015D9"/>
    <w:rsid w:val="00004D6E"/>
    <w:rsid w:val="0002615F"/>
    <w:rsid w:val="00047BA0"/>
    <w:rsid w:val="00064361"/>
    <w:rsid w:val="00074013"/>
    <w:rsid w:val="00074E79"/>
    <w:rsid w:val="00091E92"/>
    <w:rsid w:val="00095492"/>
    <w:rsid w:val="00095AE7"/>
    <w:rsid w:val="000B689E"/>
    <w:rsid w:val="000D075E"/>
    <w:rsid w:val="000D469A"/>
    <w:rsid w:val="000E74CF"/>
    <w:rsid w:val="000F1058"/>
    <w:rsid w:val="000F5374"/>
    <w:rsid w:val="0010624D"/>
    <w:rsid w:val="001071E8"/>
    <w:rsid w:val="00133524"/>
    <w:rsid w:val="00134B55"/>
    <w:rsid w:val="00137744"/>
    <w:rsid w:val="001462CA"/>
    <w:rsid w:val="001515C6"/>
    <w:rsid w:val="00160CF7"/>
    <w:rsid w:val="001633FC"/>
    <w:rsid w:val="00172388"/>
    <w:rsid w:val="0019398B"/>
    <w:rsid w:val="001A342A"/>
    <w:rsid w:val="001C2008"/>
    <w:rsid w:val="001C27AA"/>
    <w:rsid w:val="001C3AC6"/>
    <w:rsid w:val="001C5A58"/>
    <w:rsid w:val="001D074F"/>
    <w:rsid w:val="001D086D"/>
    <w:rsid w:val="00217CEA"/>
    <w:rsid w:val="002306E5"/>
    <w:rsid w:val="002345AA"/>
    <w:rsid w:val="00240544"/>
    <w:rsid w:val="00270145"/>
    <w:rsid w:val="00280FB7"/>
    <w:rsid w:val="002875F6"/>
    <w:rsid w:val="002B3672"/>
    <w:rsid w:val="002C469A"/>
    <w:rsid w:val="002E2DB2"/>
    <w:rsid w:val="002F2A11"/>
    <w:rsid w:val="002F6A33"/>
    <w:rsid w:val="00302323"/>
    <w:rsid w:val="00326070"/>
    <w:rsid w:val="00334ABD"/>
    <w:rsid w:val="00374ADF"/>
    <w:rsid w:val="00377626"/>
    <w:rsid w:val="003A1DCD"/>
    <w:rsid w:val="003D41D8"/>
    <w:rsid w:val="003D6829"/>
    <w:rsid w:val="003F2EA0"/>
    <w:rsid w:val="004325CE"/>
    <w:rsid w:val="00432C9A"/>
    <w:rsid w:val="004362BA"/>
    <w:rsid w:val="0046098B"/>
    <w:rsid w:val="004745AD"/>
    <w:rsid w:val="00480FCB"/>
    <w:rsid w:val="0049104E"/>
    <w:rsid w:val="00492A76"/>
    <w:rsid w:val="004A3521"/>
    <w:rsid w:val="004A6439"/>
    <w:rsid w:val="004B19EA"/>
    <w:rsid w:val="004B660F"/>
    <w:rsid w:val="004C00B7"/>
    <w:rsid w:val="004C624A"/>
    <w:rsid w:val="004D04F9"/>
    <w:rsid w:val="004D7F11"/>
    <w:rsid w:val="004E476D"/>
    <w:rsid w:val="004F3792"/>
    <w:rsid w:val="004F59CA"/>
    <w:rsid w:val="005102CA"/>
    <w:rsid w:val="00531B2E"/>
    <w:rsid w:val="00576075"/>
    <w:rsid w:val="00582A13"/>
    <w:rsid w:val="00596424"/>
    <w:rsid w:val="005A3426"/>
    <w:rsid w:val="005A6D18"/>
    <w:rsid w:val="005E43E0"/>
    <w:rsid w:val="005E5A69"/>
    <w:rsid w:val="00615F70"/>
    <w:rsid w:val="006164A9"/>
    <w:rsid w:val="0062373D"/>
    <w:rsid w:val="006266CE"/>
    <w:rsid w:val="00626AF5"/>
    <w:rsid w:val="00644C35"/>
    <w:rsid w:val="0065576D"/>
    <w:rsid w:val="006573B5"/>
    <w:rsid w:val="0066157C"/>
    <w:rsid w:val="00695682"/>
    <w:rsid w:val="006A2DD4"/>
    <w:rsid w:val="006A5087"/>
    <w:rsid w:val="006B2729"/>
    <w:rsid w:val="006B5089"/>
    <w:rsid w:val="006C22E2"/>
    <w:rsid w:val="006D4956"/>
    <w:rsid w:val="006D4C3E"/>
    <w:rsid w:val="006E434D"/>
    <w:rsid w:val="006F619A"/>
    <w:rsid w:val="00727763"/>
    <w:rsid w:val="00735D78"/>
    <w:rsid w:val="00751E25"/>
    <w:rsid w:val="007650E1"/>
    <w:rsid w:val="00771F62"/>
    <w:rsid w:val="00775F3E"/>
    <w:rsid w:val="007872B8"/>
    <w:rsid w:val="007A270D"/>
    <w:rsid w:val="007D44BD"/>
    <w:rsid w:val="008012FA"/>
    <w:rsid w:val="00805354"/>
    <w:rsid w:val="00822349"/>
    <w:rsid w:val="00823C4A"/>
    <w:rsid w:val="00826EAC"/>
    <w:rsid w:val="00834D8C"/>
    <w:rsid w:val="0084393A"/>
    <w:rsid w:val="00855A5A"/>
    <w:rsid w:val="00857E21"/>
    <w:rsid w:val="00887ABC"/>
    <w:rsid w:val="008B2DA9"/>
    <w:rsid w:val="008E52E6"/>
    <w:rsid w:val="00903E57"/>
    <w:rsid w:val="00941E63"/>
    <w:rsid w:val="0094367D"/>
    <w:rsid w:val="00956992"/>
    <w:rsid w:val="00971C58"/>
    <w:rsid w:val="00974558"/>
    <w:rsid w:val="00985AA6"/>
    <w:rsid w:val="009A3FBD"/>
    <w:rsid w:val="009D193A"/>
    <w:rsid w:val="009F0AF2"/>
    <w:rsid w:val="00A07CAF"/>
    <w:rsid w:val="00A11F45"/>
    <w:rsid w:val="00A41963"/>
    <w:rsid w:val="00A4375B"/>
    <w:rsid w:val="00A50845"/>
    <w:rsid w:val="00A55584"/>
    <w:rsid w:val="00A65909"/>
    <w:rsid w:val="00A923E9"/>
    <w:rsid w:val="00AC25FF"/>
    <w:rsid w:val="00AD75B0"/>
    <w:rsid w:val="00AE3CCB"/>
    <w:rsid w:val="00AE55A2"/>
    <w:rsid w:val="00AE5C5C"/>
    <w:rsid w:val="00AE6CB1"/>
    <w:rsid w:val="00AF2F4A"/>
    <w:rsid w:val="00B07CD9"/>
    <w:rsid w:val="00B14A71"/>
    <w:rsid w:val="00B20799"/>
    <w:rsid w:val="00B24AAA"/>
    <w:rsid w:val="00B36196"/>
    <w:rsid w:val="00B4079B"/>
    <w:rsid w:val="00B43C96"/>
    <w:rsid w:val="00B44435"/>
    <w:rsid w:val="00B457E2"/>
    <w:rsid w:val="00B505A4"/>
    <w:rsid w:val="00B53131"/>
    <w:rsid w:val="00B76707"/>
    <w:rsid w:val="00BA6ADF"/>
    <w:rsid w:val="00BB107A"/>
    <w:rsid w:val="00BB4B86"/>
    <w:rsid w:val="00BC5608"/>
    <w:rsid w:val="00BD3093"/>
    <w:rsid w:val="00C010C8"/>
    <w:rsid w:val="00C23836"/>
    <w:rsid w:val="00C2406A"/>
    <w:rsid w:val="00C316B5"/>
    <w:rsid w:val="00C31804"/>
    <w:rsid w:val="00C31EBB"/>
    <w:rsid w:val="00C417BF"/>
    <w:rsid w:val="00C535CC"/>
    <w:rsid w:val="00C61375"/>
    <w:rsid w:val="00C61933"/>
    <w:rsid w:val="00C91F1F"/>
    <w:rsid w:val="00CB2C42"/>
    <w:rsid w:val="00CD75BF"/>
    <w:rsid w:val="00CF2B92"/>
    <w:rsid w:val="00D11A1D"/>
    <w:rsid w:val="00D12704"/>
    <w:rsid w:val="00D24370"/>
    <w:r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id w:val="00E84B6E"/>
    <w:rsid w:val="00E85748"/>
    <w:rsid w:val="00EB3A64"/>
    <w:rsid w:val="00ED59EA"/>
    <w:rsid w:val="00EE30EE"/>
    <w:rsid w:val="00F330E0"/>
    <w:rsid w:val="00F348B1"/>
    <w:rsid w:val="00F5080F"/>
    <w:rsid w:val="00F56C72"/>
    <w:rsid w:val="00F65D7E"/>
    <w:rsid w:val="00F66AAE"/>
    <w:rsid w:val="00F72134"/>
    <w:rsid w:val="00F8198A"/>
    <w:rsid w:val="00F82423"/>
    <w:rsid w:val="00FB3401"/>
    <w:rsid w:val="00FB7824"/>
    <w:rsid w:val="00FC2701"/>
    <w:rsid w:val="00FC56F0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3F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33524"/>
    <w:pPr>
      <w:spacing w:after="210"/>
      <w:outlineLvl w:val="0"/>
    </w:pPr>
    <w:rPr>
      <w:rFonts w:ascii="Helvetica" w:hAnsi="Helvetica"/>
      <w:b/>
      <w:bCs/>
      <w:color w:val="222222"/>
      <w:kern w:val="36"/>
      <w:sz w:val="66"/>
      <w:szCs w:val="6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oblanco6">
    <w:name w:val="atexto_blanco_6"/>
    <w:basedOn w:val="Normal"/>
    <w:rsid w:val="0084393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8439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676B"/>
    <w:pPr>
      <w:ind w:left="720"/>
      <w:contextualSpacing/>
    </w:pPr>
  </w:style>
  <w:style w:type="paragraph" w:customStyle="1" w:styleId="Default">
    <w:name w:val="Default"/>
    <w:rsid w:val="00D86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4367D"/>
    <w:pPr>
      <w:spacing w:line="201" w:lineRule="atLeast"/>
    </w:pPr>
    <w:rPr>
      <w:color w:val="auto"/>
    </w:rPr>
  </w:style>
  <w:style w:type="character" w:customStyle="1" w:styleId="st1">
    <w:name w:val="st1"/>
    <w:basedOn w:val="Fuentedeprrafopredeter"/>
    <w:rsid w:val="00133524"/>
  </w:style>
  <w:style w:type="character" w:customStyle="1" w:styleId="Ttulo1Car">
    <w:name w:val="Título 1 Car"/>
    <w:basedOn w:val="Fuentedeprrafopredeter"/>
    <w:link w:val="Ttulo1"/>
    <w:uiPriority w:val="9"/>
    <w:rsid w:val="00133524"/>
    <w:rPr>
      <w:rFonts w:ascii="Helvetica" w:eastAsia="Times New Roman" w:hAnsi="Helvetica" w:cs="Times New Roman"/>
      <w:b/>
      <w:bCs/>
      <w:color w:val="222222"/>
      <w:kern w:val="36"/>
      <w:sz w:val="66"/>
      <w:szCs w:val="6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352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352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35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7F5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A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E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E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E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EA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3F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25FF"/>
    <w:rPr>
      <w:b/>
      <w:bCs/>
    </w:rPr>
  </w:style>
  <w:style w:type="paragraph" w:styleId="Sinespaciado">
    <w:name w:val="No Spacing"/>
    <w:uiPriority w:val="1"/>
    <w:qFormat/>
    <w:rsid w:val="004F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r-only">
    <w:name w:val="sr-only"/>
    <w:basedOn w:val="Fuentedeprrafopredeter"/>
    <w:rsid w:val="00172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33524"/>
    <w:pPr>
      <w:spacing w:after="210"/>
      <w:outlineLvl w:val="0"/>
    </w:pPr>
    <w:rPr>
      <w:rFonts w:ascii="Helvetica" w:hAnsi="Helvetica"/>
      <w:b/>
      <w:bCs/>
      <w:color w:val="222222"/>
      <w:kern w:val="36"/>
      <w:sz w:val="66"/>
      <w:szCs w:val="6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oblanco6">
    <w:name w:val="atexto_blanco_6"/>
    <w:basedOn w:val="Normal"/>
    <w:rsid w:val="0084393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8439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676B"/>
    <w:pPr>
      <w:ind w:left="720"/>
      <w:contextualSpacing/>
    </w:pPr>
  </w:style>
  <w:style w:type="paragraph" w:customStyle="1" w:styleId="Default">
    <w:name w:val="Default"/>
    <w:rsid w:val="00D86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4367D"/>
    <w:pPr>
      <w:spacing w:line="201" w:lineRule="atLeast"/>
    </w:pPr>
    <w:rPr>
      <w:color w:val="auto"/>
    </w:rPr>
  </w:style>
  <w:style w:type="character" w:customStyle="1" w:styleId="st1">
    <w:name w:val="st1"/>
    <w:basedOn w:val="Fuentedeprrafopredeter"/>
    <w:rsid w:val="00133524"/>
  </w:style>
  <w:style w:type="character" w:customStyle="1" w:styleId="Ttulo1Car">
    <w:name w:val="Título 1 Car"/>
    <w:basedOn w:val="Fuentedeprrafopredeter"/>
    <w:link w:val="Ttulo1"/>
    <w:uiPriority w:val="9"/>
    <w:rsid w:val="00133524"/>
    <w:rPr>
      <w:rFonts w:ascii="Helvetica" w:eastAsia="Times New Roman" w:hAnsi="Helvetica" w:cs="Times New Roman"/>
      <w:b/>
      <w:bCs/>
      <w:color w:val="222222"/>
      <w:kern w:val="36"/>
      <w:sz w:val="66"/>
      <w:szCs w:val="6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352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352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35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7F5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A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E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E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E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EA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3F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25FF"/>
    <w:rPr>
      <w:b/>
      <w:bCs/>
    </w:rPr>
  </w:style>
  <w:style w:type="paragraph" w:styleId="Sinespaciado">
    <w:name w:val="No Spacing"/>
    <w:uiPriority w:val="1"/>
    <w:qFormat/>
    <w:rsid w:val="004F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r-only">
    <w:name w:val="sr-only"/>
    <w:basedOn w:val="Fuentedeprrafopredeter"/>
    <w:rsid w:val="0017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600">
              <w:marLeft w:val="271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05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icon-icons.com/icons2/808/PNG/512/linkedin_icon-icons.com_66096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mailto:evamc@varenga.es" TargetMode="External"/><Relationship Id="rId2" Type="http://schemas.openxmlformats.org/officeDocument/2006/relationships/numbering" Target="numbering.xml"/><Relationship Id="rId16" Type="http://schemas.openxmlformats.org/officeDocument/2006/relationships/image" Target="http://vignette1.wikia.nocookie.net/hieloyfuego/images/a/a1/%C3%8Dcono_Twitter.png/revision/latest?cb=2013092123235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entidad-nacional-de-acreditacio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microsoft.com/office/2016/09/relationships/commentsIds" Target="commentsIds.xml"/><Relationship Id="rId10" Type="http://schemas.openxmlformats.org/officeDocument/2006/relationships/hyperlink" Target="http://www.enac.e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nac.es" TargetMode="External"/><Relationship Id="rId14" Type="http://schemas.openxmlformats.org/officeDocument/2006/relationships/hyperlink" Target="https://twitter.com/ENAC_acredita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F45F-938C-4FDD-95B7-5DC7A39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González</dc:creator>
  <cp:lastModifiedBy>Eva Martin</cp:lastModifiedBy>
  <cp:revision>3</cp:revision>
  <dcterms:created xsi:type="dcterms:W3CDTF">2019-01-24T08:29:00Z</dcterms:created>
  <dcterms:modified xsi:type="dcterms:W3CDTF">2019-01-24T08:29:00Z</dcterms:modified>
</cp:coreProperties>
</file>