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2914C7" w:rsidRDefault="002914C7" w14:paraId="0DC382EE" w14:textId="77777777">
      <w:pPr>
        <w:pBdr>
          <w:top w:val="nil"/>
          <w:left w:val="nil"/>
          <w:bottom w:val="nil"/>
          <w:right w:val="nil"/>
          <w:between w:val="nil"/>
        </w:pBdr>
        <w:rPr>
          <w:rFonts w:ascii="Roboto" w:hAnsi="Roboto" w:eastAsia="Roboto" w:cs="Roboto"/>
          <w:b/>
          <w:bCs/>
          <w:sz w:val="20"/>
          <w:szCs w:val="20"/>
        </w:rPr>
      </w:pPr>
    </w:p>
    <w:p w:rsidR="002914C7" w:rsidRDefault="002914C7" w14:paraId="0DC382EF" w14:textId="77777777">
      <w:pPr>
        <w:pBdr>
          <w:top w:val="nil"/>
          <w:left w:val="nil"/>
          <w:bottom w:val="nil"/>
          <w:right w:val="nil"/>
          <w:between w:val="nil"/>
        </w:pBdr>
        <w:rPr>
          <w:rFonts w:ascii="Roboto" w:hAnsi="Roboto" w:eastAsia="Roboto" w:cs="Roboto"/>
          <w:b/>
          <w:bCs/>
          <w:sz w:val="20"/>
          <w:szCs w:val="20"/>
        </w:rPr>
      </w:pPr>
    </w:p>
    <w:p w:rsidR="002914C7" w:rsidRDefault="00117554" w14:paraId="0DC382F0" w14:textId="77777777">
      <w:pPr>
        <w:jc w:val="center"/>
        <w:rPr>
          <w:rFonts w:ascii="Roboto" w:hAnsi="Roboto" w:eastAsia="Roboto" w:cs="Roboto"/>
          <w:b/>
          <w:bCs/>
          <w:sz w:val="42"/>
          <w:szCs w:val="42"/>
        </w:rPr>
      </w:pPr>
      <w:r>
        <w:rPr>
          <w:rFonts w:ascii="Roboto" w:hAnsi="Roboto" w:eastAsia="Roboto" w:cs="Roboto"/>
          <w:b/>
          <w:bCs/>
          <w:sz w:val="42"/>
          <w:szCs w:val="42"/>
        </w:rPr>
        <w:t>ENAC celebra su Asamblea General y presenta su plan de actividades para 2026</w:t>
      </w:r>
    </w:p>
    <w:p w:rsidR="002914C7" w:rsidRDefault="002914C7" w14:paraId="0DC382F1" w14:textId="77777777">
      <w:pPr>
        <w:jc w:val="center"/>
        <w:rPr>
          <w:rFonts w:ascii="Roboto" w:hAnsi="Roboto" w:eastAsia="Roboto" w:cs="Roboto"/>
          <w:b/>
          <w:bCs/>
          <w:sz w:val="22"/>
          <w:szCs w:val="22"/>
        </w:rPr>
      </w:pPr>
    </w:p>
    <w:p w:rsidR="002914C7" w:rsidRDefault="002914C7" w14:paraId="0DC382F2" w14:textId="77777777">
      <w:pPr>
        <w:pBdr>
          <w:top w:val="nil"/>
          <w:left w:val="nil"/>
          <w:bottom w:val="nil"/>
          <w:right w:val="nil"/>
          <w:between w:val="nil"/>
        </w:pBdr>
        <w:rPr>
          <w:rFonts w:ascii="Roboto" w:hAnsi="Roboto" w:eastAsia="Roboto" w:cs="Roboto"/>
          <w:b/>
          <w:bCs/>
          <w:color w:val="000000"/>
          <w:sz w:val="20"/>
          <w:szCs w:val="20"/>
        </w:rPr>
      </w:pPr>
    </w:p>
    <w:p w:rsidR="002914C7" w:rsidRDefault="00117554" w14:paraId="0DC382F3" w14:textId="77777777">
      <w:pPr>
        <w:numPr>
          <w:ilvl w:val="0"/>
          <w:numId w:val="1"/>
        </w:numPr>
        <w:jc w:val="both"/>
        <w:rPr>
          <w:rFonts w:ascii="Roboto" w:hAnsi="Roboto" w:eastAsia="Roboto" w:cs="Roboto"/>
          <w:sz w:val="22"/>
          <w:szCs w:val="22"/>
        </w:rPr>
      </w:pPr>
      <w:r>
        <w:rPr>
          <w:rFonts w:ascii="Roboto" w:hAnsi="Roboto" w:eastAsia="Roboto" w:cs="Roboto"/>
          <w:b/>
          <w:bCs/>
          <w:sz w:val="22"/>
          <w:szCs w:val="22"/>
        </w:rPr>
        <w:t>La organización estima comenzar el próximo ejercicio con cerca de 2.000 entidades acreditadas y 31 centros con certificado de Buenas Prácticas de Laboratorio</w:t>
      </w:r>
      <w:r>
        <w:rPr>
          <w:rFonts w:ascii="Roboto" w:hAnsi="Roboto" w:eastAsia="Roboto" w:cs="Roboto"/>
          <w:sz w:val="22"/>
          <w:szCs w:val="22"/>
        </w:rPr>
        <w:t xml:space="preserve"> </w:t>
      </w:r>
      <w:r>
        <w:rPr>
          <w:rFonts w:ascii="Roboto" w:hAnsi="Roboto" w:eastAsia="Roboto" w:cs="Roboto"/>
          <w:b/>
          <w:bCs/>
          <w:sz w:val="22"/>
          <w:szCs w:val="22"/>
        </w:rPr>
        <w:t>(BPL)</w:t>
      </w:r>
    </w:p>
    <w:p w:rsidR="002914C7" w:rsidRDefault="002914C7" w14:paraId="0DC382F4" w14:textId="77777777">
      <w:pPr>
        <w:ind w:left="1440"/>
        <w:jc w:val="both"/>
        <w:rPr>
          <w:rFonts w:ascii="Roboto" w:hAnsi="Roboto" w:eastAsia="Roboto" w:cs="Roboto"/>
          <w:b/>
          <w:bCs/>
          <w:sz w:val="22"/>
          <w:szCs w:val="22"/>
        </w:rPr>
      </w:pPr>
    </w:p>
    <w:p w:rsidR="002914C7" w:rsidRDefault="0056670B" w14:paraId="0DC382F5" w14:textId="501F8323">
      <w:pPr>
        <w:numPr>
          <w:ilvl w:val="0"/>
          <w:numId w:val="1"/>
        </w:numPr>
        <w:jc w:val="both"/>
        <w:rPr>
          <w:rFonts w:ascii="Roboto" w:hAnsi="Roboto" w:eastAsia="Roboto" w:cs="Roboto"/>
          <w:b/>
          <w:bCs/>
          <w:sz w:val="22"/>
          <w:szCs w:val="22"/>
        </w:rPr>
      </w:pPr>
      <w:r>
        <w:rPr>
          <w:rFonts w:ascii="Roboto" w:hAnsi="Roboto" w:eastAsia="Roboto" w:cs="Roboto"/>
          <w:b/>
          <w:bCs/>
          <w:sz w:val="22"/>
          <w:szCs w:val="22"/>
        </w:rPr>
        <w:t>S</w:t>
      </w:r>
      <w:r w:rsidR="00117554">
        <w:rPr>
          <w:rFonts w:ascii="Roboto" w:hAnsi="Roboto" w:eastAsia="Roboto" w:cs="Roboto"/>
          <w:b/>
          <w:bCs/>
          <w:sz w:val="22"/>
          <w:szCs w:val="22"/>
        </w:rPr>
        <w:t xml:space="preserve">e prevé un especial crecimiento de la actividad vinculada </w:t>
      </w:r>
      <w:r>
        <w:rPr>
          <w:rFonts w:ascii="Roboto" w:hAnsi="Roboto" w:eastAsia="Roboto" w:cs="Roboto"/>
          <w:b/>
          <w:bCs/>
          <w:sz w:val="22"/>
          <w:szCs w:val="22"/>
        </w:rPr>
        <w:t>a</w:t>
      </w:r>
      <w:r w:rsidRPr="0056670B">
        <w:rPr>
          <w:rFonts w:ascii="Roboto" w:hAnsi="Roboto" w:eastAsia="Roboto" w:cs="Roboto"/>
          <w:b/>
          <w:bCs/>
          <w:sz w:val="22"/>
          <w:szCs w:val="22"/>
        </w:rPr>
        <w:t xml:space="preserve"> la evolución de diversos desarrollos reglamentarios europeos, nacionales y autonómicos</w:t>
      </w:r>
      <w:r>
        <w:rPr>
          <w:rFonts w:ascii="Roboto" w:hAnsi="Roboto" w:eastAsia="Roboto" w:cs="Roboto"/>
          <w:b/>
          <w:bCs/>
          <w:sz w:val="22"/>
          <w:szCs w:val="22"/>
        </w:rPr>
        <w:t xml:space="preserve"> </w:t>
      </w:r>
      <w:r w:rsidR="00117554">
        <w:rPr>
          <w:rFonts w:ascii="Roboto" w:hAnsi="Roboto" w:eastAsia="Roboto" w:cs="Roboto"/>
          <w:b/>
          <w:bCs/>
          <w:sz w:val="22"/>
          <w:szCs w:val="22"/>
        </w:rPr>
        <w:t xml:space="preserve">y se trabaja en los correspondientes planes de transición de las normas UNE-EN ISO/IEC 17020, UNE-EN ISO/IEC 17065 y UNE-EN ISO/IEC 17024, en fase actual de revisión </w:t>
      </w:r>
    </w:p>
    <w:p w:rsidR="002914C7" w:rsidRDefault="002914C7" w14:paraId="0DC382F6" w14:textId="77777777">
      <w:pPr>
        <w:ind w:left="720"/>
        <w:jc w:val="both"/>
        <w:rPr>
          <w:rFonts w:ascii="Roboto" w:hAnsi="Roboto" w:eastAsia="Roboto" w:cs="Roboto"/>
          <w:b/>
          <w:bCs/>
          <w:sz w:val="22"/>
          <w:szCs w:val="22"/>
        </w:rPr>
      </w:pPr>
    </w:p>
    <w:p w:rsidR="002914C7" w:rsidRDefault="00117554" w14:paraId="0DC382F7" w14:textId="77777777">
      <w:pPr>
        <w:numPr>
          <w:ilvl w:val="0"/>
          <w:numId w:val="1"/>
        </w:numPr>
        <w:jc w:val="both"/>
        <w:rPr>
          <w:rFonts w:ascii="Roboto" w:hAnsi="Roboto" w:eastAsia="Roboto" w:cs="Roboto"/>
          <w:b/>
          <w:bCs/>
          <w:sz w:val="22"/>
          <w:szCs w:val="22"/>
        </w:rPr>
      </w:pPr>
      <w:r>
        <w:rPr>
          <w:rFonts w:ascii="Roboto" w:hAnsi="Roboto" w:eastAsia="Roboto" w:cs="Roboto"/>
          <w:b/>
          <w:bCs/>
          <w:sz w:val="22"/>
          <w:szCs w:val="22"/>
        </w:rPr>
        <w:t xml:space="preserve">En el exterior, 2026 será el año del lanzamiento de la nueva marca EA, destinada a reforzar la confianza en los servicios de evaluación de la conformidad acreditados en el marco europeo del Acuerdo Multilateral de Reconocimiento </w:t>
      </w:r>
    </w:p>
    <w:p w:rsidR="002914C7" w:rsidRDefault="002914C7" w14:paraId="0DC382F8" w14:textId="77777777">
      <w:pPr>
        <w:ind w:left="720"/>
        <w:jc w:val="both"/>
        <w:rPr>
          <w:rFonts w:ascii="Roboto" w:hAnsi="Roboto" w:eastAsia="Roboto" w:cs="Roboto"/>
          <w:b/>
          <w:bCs/>
          <w:sz w:val="22"/>
          <w:szCs w:val="22"/>
        </w:rPr>
      </w:pPr>
    </w:p>
    <w:p w:rsidR="002914C7" w:rsidRDefault="00117554" w14:paraId="0DC382F9" w14:textId="77777777">
      <w:pPr>
        <w:pBdr>
          <w:top w:val="nil"/>
          <w:left w:val="nil"/>
          <w:bottom w:val="nil"/>
          <w:right w:val="nil"/>
          <w:between w:val="nil"/>
        </w:pBdr>
        <w:jc w:val="both"/>
        <w:rPr>
          <w:rFonts w:ascii="Roboto" w:hAnsi="Roboto" w:eastAsia="Roboto" w:cs="Roboto"/>
          <w:sz w:val="22"/>
          <w:szCs w:val="22"/>
        </w:rPr>
      </w:pPr>
      <w:r>
        <w:rPr>
          <w:rFonts w:ascii="Roboto" w:hAnsi="Roboto" w:eastAsia="Roboto" w:cs="Roboto"/>
          <w:sz w:val="22"/>
          <w:szCs w:val="22"/>
        </w:rPr>
        <w:t xml:space="preserve">Madrid, 18 de diciembre de 2025.- La </w:t>
      </w:r>
      <w:hyperlink r:id="rId11">
        <w:r>
          <w:rPr>
            <w:rFonts w:ascii="Roboto" w:hAnsi="Roboto" w:eastAsia="Roboto" w:cs="Roboto"/>
            <w:b/>
            <w:bCs/>
            <w:color w:val="1155CC"/>
            <w:sz w:val="22"/>
            <w:szCs w:val="22"/>
            <w:u w:val="single"/>
          </w:rPr>
          <w:t>Entidad Nacional de Acreditación</w:t>
        </w:r>
      </w:hyperlink>
      <w:r>
        <w:rPr>
          <w:rFonts w:ascii="Roboto" w:hAnsi="Roboto" w:eastAsia="Roboto" w:cs="Roboto"/>
          <w:sz w:val="22"/>
          <w:szCs w:val="22"/>
        </w:rPr>
        <w:t xml:space="preserve"> (ENAC) ha celebrado su Asamblea General, presidida por José Manuel Prieto y en la que, junto a la directora general de la Entidad, Beatriz Rivera, se han presentado tanto los presupuestos como el plan de actividades que ENAC llevará a cabo en 2026.</w:t>
      </w:r>
    </w:p>
    <w:p w:rsidR="002914C7" w:rsidRDefault="002914C7" w14:paraId="0DC382FA" w14:textId="77777777">
      <w:pPr>
        <w:pBdr>
          <w:top w:val="nil"/>
          <w:left w:val="nil"/>
          <w:bottom w:val="nil"/>
          <w:right w:val="nil"/>
          <w:between w:val="nil"/>
        </w:pBdr>
        <w:jc w:val="both"/>
        <w:rPr>
          <w:rFonts w:ascii="Roboto" w:hAnsi="Roboto" w:eastAsia="Roboto" w:cs="Roboto"/>
          <w:sz w:val="22"/>
          <w:szCs w:val="22"/>
        </w:rPr>
      </w:pPr>
    </w:p>
    <w:p w:rsidR="002914C7" w:rsidRDefault="00117554" w14:paraId="0DC382FB" w14:textId="77777777">
      <w:pPr>
        <w:pBdr>
          <w:top w:val="nil"/>
          <w:left w:val="nil"/>
          <w:bottom w:val="nil"/>
          <w:right w:val="nil"/>
          <w:between w:val="nil"/>
        </w:pBdr>
        <w:jc w:val="both"/>
        <w:rPr>
          <w:rFonts w:ascii="Roboto" w:hAnsi="Roboto" w:eastAsia="Roboto" w:cs="Roboto"/>
          <w:sz w:val="22"/>
          <w:szCs w:val="22"/>
        </w:rPr>
      </w:pPr>
      <w:r>
        <w:rPr>
          <w:rFonts w:ascii="Roboto" w:hAnsi="Roboto" w:eastAsia="Roboto" w:cs="Roboto"/>
          <w:b/>
          <w:bCs/>
          <w:sz w:val="22"/>
          <w:szCs w:val="22"/>
        </w:rPr>
        <w:t>La organización estima comenzar el próximo ejercicio con cerca de 2.000 entidades acreditadas y 31 centros con certificado de Buenas Prácticas de Laboratorio</w:t>
      </w:r>
      <w:r>
        <w:rPr>
          <w:rFonts w:ascii="Roboto" w:hAnsi="Roboto" w:eastAsia="Roboto" w:cs="Roboto"/>
          <w:sz w:val="22"/>
          <w:szCs w:val="22"/>
        </w:rPr>
        <w:t xml:space="preserve"> (BPL), consolidando así su papel como pieza clave de la infraestructura de la calidad en España.</w:t>
      </w:r>
    </w:p>
    <w:p w:rsidR="002914C7" w:rsidRDefault="002914C7" w14:paraId="0DC382FC" w14:textId="77777777">
      <w:pPr>
        <w:pBdr>
          <w:top w:val="nil"/>
          <w:left w:val="nil"/>
          <w:bottom w:val="nil"/>
          <w:right w:val="nil"/>
          <w:between w:val="nil"/>
        </w:pBdr>
        <w:jc w:val="both"/>
        <w:rPr>
          <w:rFonts w:ascii="Roboto" w:hAnsi="Roboto" w:eastAsia="Roboto" w:cs="Roboto"/>
          <w:sz w:val="22"/>
          <w:szCs w:val="22"/>
        </w:rPr>
      </w:pPr>
    </w:p>
    <w:p w:rsidR="002914C7" w:rsidRDefault="00117554" w14:paraId="0DC382FD" w14:textId="77777777">
      <w:pPr>
        <w:spacing w:after="160"/>
        <w:jc w:val="both"/>
        <w:rPr>
          <w:rFonts w:ascii="Roboto" w:hAnsi="Roboto" w:eastAsia="Roboto" w:cs="Roboto"/>
          <w:sz w:val="22"/>
          <w:szCs w:val="22"/>
        </w:rPr>
      </w:pPr>
      <w:r>
        <w:rPr>
          <w:rFonts w:ascii="Roboto" w:hAnsi="Roboto" w:eastAsia="Roboto" w:cs="Roboto"/>
          <w:sz w:val="22"/>
          <w:szCs w:val="22"/>
        </w:rPr>
        <w:t>En concreto, y por esquema, las entidades acreditadas a finales de 2025 las componen: 969 laboratorios de ensayo, 159 laboratorios de calibración, 97 laboratorios clínicos, 455 entidades de inspección, 265 entidades de certificación, 18 proveedores de programas de ensayos de aptitud, 16 entidades de verificación y validación, 12 verificadores medioambientales, 4 productores de materiales de referencia y 2 biobancos.</w:t>
      </w:r>
    </w:p>
    <w:p w:rsidR="002914C7" w:rsidRDefault="00117554" w14:paraId="0DC382FE" w14:textId="77777777">
      <w:pPr>
        <w:jc w:val="both"/>
        <w:rPr>
          <w:rFonts w:ascii="Roboto" w:hAnsi="Roboto" w:eastAsia="Roboto" w:cs="Roboto"/>
          <w:b/>
          <w:bCs/>
          <w:sz w:val="22"/>
          <w:szCs w:val="22"/>
        </w:rPr>
      </w:pPr>
      <w:r>
        <w:rPr>
          <w:rFonts w:ascii="Roboto" w:hAnsi="Roboto" w:eastAsia="Roboto" w:cs="Roboto"/>
          <w:b/>
          <w:bCs/>
          <w:sz w:val="22"/>
          <w:szCs w:val="22"/>
        </w:rPr>
        <w:t>Un año marcado por el desarrollo legislativo y la adaptación a nuevas regulaciones</w:t>
      </w:r>
    </w:p>
    <w:p w:rsidR="002914C7" w:rsidRDefault="002914C7" w14:paraId="0DC382FF" w14:textId="77777777">
      <w:pPr>
        <w:jc w:val="both"/>
        <w:rPr>
          <w:rFonts w:ascii="Roboto" w:hAnsi="Roboto" w:eastAsia="Roboto" w:cs="Roboto"/>
          <w:b/>
          <w:bCs/>
          <w:sz w:val="22"/>
          <w:szCs w:val="22"/>
        </w:rPr>
      </w:pPr>
    </w:p>
    <w:p w:rsidR="002914C7" w:rsidP="230D79BF" w:rsidRDefault="002914C7" w14:paraId="0DC38303" w14:textId="07BF135B">
      <w:pPr>
        <w:jc w:val="both"/>
        <w:rPr>
          <w:rFonts w:ascii="Roboto" w:hAnsi="Roboto" w:eastAsia="Roboto" w:cs="Roboto"/>
          <w:sz w:val="22"/>
          <w:szCs w:val="22"/>
          <w:lang w:val="es-ES"/>
        </w:rPr>
      </w:pPr>
      <w:r w:rsidRPr="230D79BF" w:rsidR="00117554">
        <w:rPr>
          <w:rFonts w:ascii="Roboto" w:hAnsi="Roboto" w:eastAsia="Roboto" w:cs="Roboto"/>
          <w:sz w:val="22"/>
          <w:szCs w:val="22"/>
          <w:lang w:val="es-ES"/>
        </w:rPr>
        <w:t>Beatriz Rivera comenzó presentando el plan de actividades previsto</w:t>
      </w:r>
      <w:sdt>
        <w:sdtPr>
          <w:id w:val="-840143802"/>
          <w:tag w:val="goog_rdk_0"/>
          <w:placeholder>
            <w:docPart w:val="DefaultPlaceholder_1081868574"/>
          </w:placeholder>
        </w:sdtPr>
        <w:sdtContent>
          <w:r w:rsidRPr="230D79BF" w:rsidR="00117554">
            <w:rPr>
              <w:rFonts w:ascii="Roboto" w:hAnsi="Roboto" w:eastAsia="Roboto" w:cs="Roboto"/>
              <w:sz w:val="22"/>
              <w:szCs w:val="22"/>
              <w:lang w:val="es-ES"/>
            </w:rPr>
            <w:t xml:space="preserve"> para el </w:t>
          </w:r>
        </w:sdtContent>
      </w:sdt>
      <w:sdt>
        <w:sdtPr>
          <w:id w:val="1216301029"/>
          <w:tag w:val="goog_rdk_1"/>
          <w:showingPlcHdr/>
          <w:placeholder>
            <w:docPart w:val="DefaultPlaceholder_1081868574"/>
          </w:placeholder>
        </w:sdtPr>
        <w:sdtContent>
          <w:r w:rsidR="005F0B6D">
            <w:rPr/>
            <w:t xml:space="preserve">     </w:t>
          </w:r>
        </w:sdtContent>
      </w:sdt>
      <w:r w:rsidRPr="230D79BF" w:rsidR="00117554">
        <w:rPr>
          <w:rFonts w:ascii="Roboto" w:hAnsi="Roboto" w:eastAsia="Roboto" w:cs="Roboto"/>
          <w:sz w:val="22"/>
          <w:szCs w:val="22"/>
          <w:lang w:val="es-ES"/>
        </w:rPr>
        <w:t>próximo año, que estará condicionado por la evolución de diversos desarrollos reglamentarios europeos, nacionales y autonómicos. Entre ellos, ha subrayado algunos como “</w:t>
      </w:r>
      <w:r w:rsidRPr="230D79BF" w:rsidR="00117554">
        <w:rPr>
          <w:rFonts w:ascii="Roboto" w:hAnsi="Roboto" w:eastAsia="Roboto" w:cs="Roboto"/>
          <w:b w:val="1"/>
          <w:bCs w:val="1"/>
          <w:sz w:val="22"/>
          <w:szCs w:val="22"/>
          <w:lang w:val="es-ES"/>
        </w:rPr>
        <w:t xml:space="preserve">el impacto previsto de normativas como los Reglamentos de baterías, </w:t>
      </w:r>
      <w:r w:rsidRPr="230D79BF" w:rsidR="00117554">
        <w:rPr>
          <w:rFonts w:ascii="Roboto" w:hAnsi="Roboto" w:eastAsia="Roboto" w:cs="Roboto"/>
          <w:b w:val="1"/>
          <w:bCs w:val="1"/>
          <w:sz w:val="22"/>
          <w:szCs w:val="22"/>
          <w:lang w:val="es-ES"/>
        </w:rPr>
        <w:t>Ciberresiliencia</w:t>
      </w:r>
      <w:r w:rsidRPr="230D79BF" w:rsidR="00117554">
        <w:rPr>
          <w:rFonts w:ascii="Roboto" w:hAnsi="Roboto" w:eastAsia="Roboto" w:cs="Roboto"/>
          <w:b w:val="1"/>
          <w:bCs w:val="1"/>
          <w:sz w:val="22"/>
          <w:szCs w:val="22"/>
          <w:lang w:val="es-ES"/>
        </w:rPr>
        <w:t xml:space="preserve"> (CRA), Inteligencia Artificial o el de Biocombustibles, así como la entrada en vigor del Reglamento 2023/956, que establece el Mecanismo de Ajuste en Frontera por Carbono (CBAM)</w:t>
      </w:r>
      <w:r w:rsidRPr="230D79BF" w:rsidR="00117554">
        <w:rPr>
          <w:rFonts w:ascii="Roboto" w:hAnsi="Roboto" w:eastAsia="Roboto" w:cs="Roboto"/>
          <w:sz w:val="22"/>
          <w:szCs w:val="22"/>
          <w:lang w:val="es-ES"/>
        </w:rPr>
        <w:t>”.</w:t>
      </w:r>
    </w:p>
    <w:p w:rsidR="002914C7" w:rsidRDefault="002914C7" w14:paraId="0DC38304" w14:textId="77777777">
      <w:pPr>
        <w:jc w:val="both"/>
        <w:rPr>
          <w:rFonts w:ascii="Roboto" w:hAnsi="Roboto" w:eastAsia="Roboto" w:cs="Roboto"/>
          <w:sz w:val="22"/>
          <w:szCs w:val="22"/>
        </w:rPr>
      </w:pPr>
    </w:p>
    <w:p w:rsidR="002914C7" w:rsidRDefault="00117554" w14:paraId="0DC38305" w14:textId="77777777">
      <w:pPr>
        <w:jc w:val="both"/>
        <w:rPr>
          <w:rFonts w:ascii="Roboto" w:hAnsi="Roboto" w:eastAsia="Roboto" w:cs="Roboto"/>
          <w:sz w:val="22"/>
          <w:szCs w:val="22"/>
        </w:rPr>
      </w:pPr>
      <w:r>
        <w:rPr>
          <w:rFonts w:ascii="Roboto" w:hAnsi="Roboto" w:eastAsia="Roboto" w:cs="Roboto"/>
          <w:sz w:val="22"/>
          <w:szCs w:val="22"/>
        </w:rPr>
        <w:t>A nivel nacional, ha reafirmado la disposición de ENAC para colaborar con las diferentes administraciones públicas que integren la acreditación dentro de sus marcos regulatorios: “En este sentido</w:t>
      </w:r>
      <w:r>
        <w:rPr>
          <w:rFonts w:ascii="Roboto" w:hAnsi="Roboto" w:eastAsia="Roboto" w:cs="Roboto"/>
          <w:b/>
          <w:bCs/>
          <w:sz w:val="22"/>
          <w:szCs w:val="22"/>
        </w:rPr>
        <w:t>, se prevé un especial crecimiento de la actividad vinculada a la inspección medioambiental y a las licencias urbanísticas</w:t>
      </w:r>
      <w:r>
        <w:rPr>
          <w:rFonts w:ascii="Roboto" w:hAnsi="Roboto" w:eastAsia="Roboto" w:cs="Roboto"/>
          <w:sz w:val="22"/>
          <w:szCs w:val="22"/>
        </w:rPr>
        <w:t>, impulsado por las exigencias de acreditación aprobadas por diversas comunidades autónomas en 2025”.</w:t>
      </w:r>
    </w:p>
    <w:p w:rsidR="002914C7" w:rsidRDefault="002914C7" w14:paraId="0DC38306" w14:textId="77777777">
      <w:pPr>
        <w:jc w:val="both"/>
        <w:rPr>
          <w:rFonts w:ascii="Roboto" w:hAnsi="Roboto" w:eastAsia="Roboto" w:cs="Roboto"/>
          <w:sz w:val="22"/>
          <w:szCs w:val="22"/>
        </w:rPr>
      </w:pPr>
    </w:p>
    <w:p w:rsidR="002914C7" w:rsidRDefault="00117554" w14:paraId="0DC38307" w14:textId="77777777">
      <w:pPr>
        <w:jc w:val="both"/>
        <w:rPr>
          <w:rFonts w:ascii="Roboto" w:hAnsi="Roboto" w:eastAsia="Roboto" w:cs="Roboto"/>
          <w:sz w:val="22"/>
          <w:szCs w:val="22"/>
        </w:rPr>
      </w:pPr>
      <w:r>
        <w:rPr>
          <w:rFonts w:ascii="Roboto" w:hAnsi="Roboto" w:eastAsia="Roboto" w:cs="Roboto"/>
          <w:sz w:val="22"/>
          <w:szCs w:val="22"/>
        </w:rPr>
        <w:t>En el marco de las acciones destinadas a fomentar una cooperación más estrecha y eficiente con las administraciones públicas y los órganos reguladores, Rivera ha anunciado que “ENAC tiene previsto la publicación de un nuevo documento dirigido las diferentes administraciones públicas con el objetivo de trasladar una visión clara y práctica de cómo la acreditación y los servicios acreditados pueden apoyar los procesos de simplificación administrativa, en línea con las prioridades marcadas por la Comisión Europea”.</w:t>
      </w:r>
    </w:p>
    <w:p w:rsidR="002914C7" w:rsidRDefault="002914C7" w14:paraId="0DC38308" w14:textId="77777777">
      <w:pPr>
        <w:jc w:val="both"/>
        <w:rPr>
          <w:rFonts w:ascii="Roboto" w:hAnsi="Roboto" w:eastAsia="Roboto" w:cs="Roboto"/>
          <w:sz w:val="22"/>
          <w:szCs w:val="22"/>
        </w:rPr>
      </w:pPr>
    </w:p>
    <w:p w:rsidR="002914C7" w:rsidRDefault="00117554" w14:paraId="0DC38309" w14:textId="77777777">
      <w:pPr>
        <w:jc w:val="both"/>
        <w:rPr>
          <w:rFonts w:ascii="Roboto" w:hAnsi="Roboto" w:eastAsia="Roboto" w:cs="Roboto"/>
          <w:b/>
          <w:bCs/>
          <w:sz w:val="22"/>
          <w:szCs w:val="22"/>
        </w:rPr>
      </w:pPr>
      <w:r>
        <w:rPr>
          <w:rFonts w:ascii="Roboto" w:hAnsi="Roboto" w:eastAsia="Roboto" w:cs="Roboto"/>
          <w:b/>
          <w:bCs/>
          <w:sz w:val="22"/>
          <w:szCs w:val="22"/>
        </w:rPr>
        <w:t>Transformación interna: digitalización, colaboración con partes interesadas y nuevos desarrollos normativos</w:t>
      </w:r>
    </w:p>
    <w:p w:rsidR="002914C7" w:rsidRDefault="002914C7" w14:paraId="0DC3830A" w14:textId="77777777">
      <w:pPr>
        <w:jc w:val="both"/>
        <w:rPr>
          <w:rFonts w:ascii="Roboto" w:hAnsi="Roboto" w:eastAsia="Roboto" w:cs="Roboto"/>
          <w:sz w:val="22"/>
          <w:szCs w:val="22"/>
        </w:rPr>
      </w:pPr>
    </w:p>
    <w:p w:rsidR="002914C7" w:rsidRDefault="00117554" w14:paraId="0DC3830B" w14:textId="77777777">
      <w:pPr>
        <w:jc w:val="both"/>
        <w:rPr>
          <w:rFonts w:ascii="Roboto" w:hAnsi="Roboto" w:eastAsia="Roboto" w:cs="Roboto"/>
          <w:b/>
          <w:bCs/>
          <w:sz w:val="22"/>
          <w:szCs w:val="22"/>
        </w:rPr>
      </w:pPr>
      <w:r>
        <w:rPr>
          <w:rFonts w:ascii="Roboto" w:hAnsi="Roboto" w:eastAsia="Roboto" w:cs="Roboto"/>
          <w:sz w:val="22"/>
          <w:szCs w:val="22"/>
        </w:rPr>
        <w:t xml:space="preserve">En el plano más operativo, Rivera también ha presentado algunas líneas de trabajo internas para 2026, enfocadas a </w:t>
      </w:r>
      <w:r>
        <w:rPr>
          <w:rFonts w:ascii="Roboto" w:hAnsi="Roboto" w:eastAsia="Roboto" w:cs="Roboto"/>
          <w:b/>
          <w:bCs/>
          <w:sz w:val="22"/>
          <w:szCs w:val="22"/>
        </w:rPr>
        <w:t>ampliar los esfuerzos en innovación y digitalización. Un hito destacado será la incorporación progresiva de inteligencia artificial (IA), principalmente, para la optimización de los procesos internos.</w:t>
      </w:r>
    </w:p>
    <w:p w:rsidR="002914C7" w:rsidRDefault="002914C7" w14:paraId="0DC3830C" w14:textId="77777777">
      <w:pPr>
        <w:jc w:val="both"/>
        <w:rPr>
          <w:rFonts w:ascii="Roboto" w:hAnsi="Roboto" w:eastAsia="Roboto" w:cs="Roboto"/>
          <w:sz w:val="22"/>
          <w:szCs w:val="22"/>
        </w:rPr>
      </w:pPr>
    </w:p>
    <w:p w:rsidR="002914C7" w:rsidRDefault="00117554" w14:paraId="0DC3830D" w14:textId="77777777">
      <w:pPr>
        <w:jc w:val="both"/>
        <w:rPr>
          <w:rFonts w:ascii="Roboto" w:hAnsi="Roboto" w:eastAsia="Roboto" w:cs="Roboto"/>
          <w:sz w:val="22"/>
          <w:szCs w:val="22"/>
        </w:rPr>
      </w:pPr>
      <w:r>
        <w:rPr>
          <w:rFonts w:ascii="Roboto" w:hAnsi="Roboto" w:eastAsia="Roboto" w:cs="Roboto"/>
          <w:sz w:val="22"/>
          <w:szCs w:val="22"/>
        </w:rPr>
        <w:t>Por otra parte, ha subrayado la importancia de mantener una colaboración estrecha con todas las partes interesadas para garantizar el rigor del proceso de acreditación e integrar el conocimiento técnico y profesional necesario. En este sentido, y en alusión a la relación permanente de ENAC con sus grupos de interés, la directora ha señalado que la entidad “continuará reforzando la cooperación con las administraciones, universidades, sociedades científicas y los distintos organismos que conforman la infraestructura de la calidad, tanto a nivel nacional como internacional, con el objetivo de seguir consolidando un sistema de acreditación sólido, competitivo y preparado para afrontar los retos futuros, dentro y fuera de nuestras fronteras”.</w:t>
      </w:r>
    </w:p>
    <w:p w:rsidR="002914C7" w:rsidRDefault="002914C7" w14:paraId="0DC3830E" w14:textId="77777777">
      <w:pPr>
        <w:jc w:val="both"/>
        <w:rPr>
          <w:rFonts w:ascii="Roboto" w:hAnsi="Roboto" w:eastAsia="Roboto" w:cs="Roboto"/>
          <w:sz w:val="22"/>
          <w:szCs w:val="22"/>
        </w:rPr>
      </w:pPr>
    </w:p>
    <w:p w:rsidR="002914C7" w:rsidP="230D79BF" w:rsidRDefault="002914C7" w14:paraId="0DC3831A" w14:textId="39C4985D">
      <w:pPr>
        <w:jc w:val="both"/>
        <w:rPr>
          <w:rFonts w:ascii="Roboto" w:hAnsi="Roboto" w:eastAsia="Roboto" w:cs="Roboto"/>
          <w:sz w:val="22"/>
          <w:szCs w:val="22"/>
        </w:rPr>
      </w:pPr>
      <w:r w:rsidRPr="230D79BF" w:rsidR="00117554">
        <w:rPr>
          <w:rFonts w:ascii="Roboto" w:hAnsi="Roboto" w:eastAsia="Roboto" w:cs="Roboto"/>
          <w:sz w:val="22"/>
          <w:szCs w:val="22"/>
        </w:rPr>
        <w:t>En relación con los próximos cambios normativos, Rivera ha apuntado, que dado que se encuentran</w:t>
      </w:r>
      <w:r w:rsidRPr="230D79BF" w:rsidR="00117554">
        <w:rPr>
          <w:rFonts w:ascii="Roboto" w:hAnsi="Roboto" w:eastAsia="Roboto" w:cs="Roboto"/>
          <w:b w:val="1"/>
          <w:bCs w:val="1"/>
          <w:sz w:val="22"/>
          <w:szCs w:val="22"/>
        </w:rPr>
        <w:t xml:space="preserve"> en revisión las normas UNE-EN ISO/IEC 17020, UNE-EN ISO/IEC 17065 y UNE-EN ISO/IEC 17024, ENAC pondrá en marcha a lo largo del año los correspondientes planes de transición</w:t>
      </w:r>
      <w:r w:rsidRPr="230D79BF" w:rsidR="00117554">
        <w:rPr>
          <w:rFonts w:ascii="Roboto" w:hAnsi="Roboto" w:eastAsia="Roboto" w:cs="Roboto"/>
          <w:sz w:val="22"/>
          <w:szCs w:val="22"/>
        </w:rPr>
        <w:t>, una vez culminen sus procesos de revisión y aprobación. En este sentido, la directora ha señalado que “estos planes permitirán a las entidades adaptarse de manera ordenada a los nuevos requisitos, garantizando la continuidad del rigor y la confianza en el sistema de acreditación”.</w:t>
      </w:r>
    </w:p>
    <w:p w:rsidR="002914C7" w:rsidRDefault="002914C7" w14:paraId="0DC3831B" w14:textId="77777777">
      <w:pPr>
        <w:jc w:val="both"/>
        <w:rPr>
          <w:rFonts w:ascii="Roboto" w:hAnsi="Roboto" w:eastAsia="Roboto" w:cs="Roboto"/>
          <w:b/>
          <w:bCs/>
          <w:sz w:val="22"/>
          <w:szCs w:val="22"/>
        </w:rPr>
      </w:pPr>
    </w:p>
    <w:p w:rsidR="002914C7" w:rsidRDefault="00117554" w14:paraId="0DC3831C" w14:textId="77777777">
      <w:pPr>
        <w:jc w:val="both"/>
        <w:rPr>
          <w:rFonts w:ascii="Roboto" w:hAnsi="Roboto" w:eastAsia="Roboto" w:cs="Roboto"/>
          <w:b/>
          <w:bCs/>
          <w:sz w:val="22"/>
          <w:szCs w:val="22"/>
          <w:lang w:val="es-ES"/>
        </w:rPr>
      </w:pPr>
      <w:r w:rsidRPr="1BD1E3D7">
        <w:rPr>
          <w:rFonts w:ascii="Roboto" w:hAnsi="Roboto" w:eastAsia="Roboto" w:cs="Roboto"/>
          <w:b/>
          <w:bCs/>
          <w:sz w:val="22"/>
          <w:szCs w:val="22"/>
          <w:lang w:val="es-ES"/>
        </w:rPr>
        <w:t>Proyección internacional: re-evaluación de EA, nueva marca EA MLA y el inicio de la Global Accreditation Cooperation</w:t>
      </w:r>
    </w:p>
    <w:p w:rsidR="002914C7" w:rsidRDefault="002914C7" w14:paraId="0DC3831D" w14:textId="77777777">
      <w:pPr>
        <w:jc w:val="both"/>
        <w:rPr>
          <w:rFonts w:ascii="Roboto" w:hAnsi="Roboto" w:eastAsia="Roboto" w:cs="Roboto"/>
          <w:sz w:val="22"/>
          <w:szCs w:val="22"/>
        </w:rPr>
      </w:pPr>
    </w:p>
    <w:p w:rsidR="002914C7" w:rsidRDefault="00117554" w14:paraId="0DC3831E" w14:textId="77777777">
      <w:pPr>
        <w:jc w:val="both"/>
        <w:rPr>
          <w:rFonts w:ascii="Roboto" w:hAnsi="Roboto" w:eastAsia="Roboto" w:cs="Roboto"/>
          <w:sz w:val="22"/>
          <w:szCs w:val="22"/>
          <w:lang w:val="es-ES"/>
        </w:rPr>
      </w:pPr>
      <w:r w:rsidRPr="1BD1E3D7">
        <w:rPr>
          <w:rFonts w:ascii="Roboto" w:hAnsi="Roboto" w:eastAsia="Roboto" w:cs="Roboto"/>
          <w:sz w:val="22"/>
          <w:szCs w:val="22"/>
          <w:lang w:val="es-ES"/>
        </w:rPr>
        <w:t xml:space="preserve">El ámbito internacional tendrá un protagonismo especial </w:t>
      </w:r>
      <w:r w:rsidRPr="1BD1E3D7">
        <w:rPr>
          <w:rFonts w:ascii="Roboto" w:hAnsi="Roboto" w:eastAsia="Roboto" w:cs="Roboto"/>
          <w:b/>
          <w:bCs/>
          <w:sz w:val="22"/>
          <w:szCs w:val="22"/>
          <w:lang w:val="es-ES"/>
        </w:rPr>
        <w:t>en 2026. ENAC se someterá en octubre a la re-evaluación por parte de European Accreditation (EA), esencial para el mantenimiento de los acuerdos de reconocimiento mutuo en Europa y a escala global</w:t>
      </w:r>
      <w:r w:rsidRPr="1BD1E3D7">
        <w:rPr>
          <w:rFonts w:ascii="Roboto" w:hAnsi="Roboto" w:eastAsia="Roboto" w:cs="Roboto"/>
          <w:sz w:val="22"/>
          <w:szCs w:val="22"/>
          <w:lang w:val="es-ES"/>
        </w:rPr>
        <w:t>. Asimismo, se prevé la participación del equipo técnico de ENAC en las evaluaciones por pares de EA a los organismos de acreditación de países como Eslovenia, Israel, Irlanda y República Checa, entre otros, “con el objetivo de seguir contribuyendo al pleno funcionamiento del sistema de acreditación y al mantenimiento de sus acuerdos de reconocimiento internacionales", ha apuntado la directora general.</w:t>
      </w:r>
    </w:p>
    <w:p w:rsidR="002914C7" w:rsidRDefault="002914C7" w14:paraId="0DC3831F" w14:textId="77777777">
      <w:pPr>
        <w:jc w:val="both"/>
        <w:rPr>
          <w:rFonts w:ascii="Roboto" w:hAnsi="Roboto" w:eastAsia="Roboto" w:cs="Roboto"/>
          <w:sz w:val="22"/>
          <w:szCs w:val="22"/>
        </w:rPr>
      </w:pPr>
    </w:p>
    <w:p w:rsidR="002914C7" w:rsidRDefault="00117554" w14:paraId="0DC38320" w14:textId="77777777">
      <w:pPr>
        <w:jc w:val="both"/>
        <w:rPr>
          <w:rFonts w:ascii="Roboto" w:hAnsi="Roboto" w:eastAsia="Roboto" w:cs="Roboto"/>
          <w:sz w:val="22"/>
          <w:szCs w:val="22"/>
        </w:rPr>
      </w:pPr>
      <w:r>
        <w:rPr>
          <w:rFonts w:ascii="Roboto" w:hAnsi="Roboto" w:eastAsia="Roboto" w:cs="Roboto"/>
          <w:sz w:val="22"/>
          <w:szCs w:val="22"/>
        </w:rPr>
        <w:t xml:space="preserve">Además, </w:t>
      </w:r>
      <w:r>
        <w:rPr>
          <w:rFonts w:ascii="Roboto" w:hAnsi="Roboto" w:eastAsia="Roboto" w:cs="Roboto"/>
          <w:b/>
          <w:bCs/>
          <w:sz w:val="22"/>
          <w:szCs w:val="22"/>
        </w:rPr>
        <w:t>2026 será el año del lanzamiento de la nueva marca EA, destinada a reforzar la confianza en los servicios de evaluación de la conformidad acreditados en el marco del Acuerdo Multilateral de Reconocimiento de EA</w:t>
      </w:r>
      <w:r>
        <w:rPr>
          <w:rFonts w:ascii="Roboto" w:hAnsi="Roboto" w:eastAsia="Roboto" w:cs="Roboto"/>
          <w:sz w:val="22"/>
          <w:szCs w:val="22"/>
        </w:rPr>
        <w:t>: “ENAC pondrá a disposición de las entidades acreditadas la marca combinada EA MLA-ENAC a comienzos de año”, ha señalado.</w:t>
      </w:r>
    </w:p>
    <w:p w:rsidR="002914C7" w:rsidRDefault="002914C7" w14:paraId="0DC38321" w14:textId="77777777">
      <w:pPr>
        <w:jc w:val="both"/>
        <w:rPr>
          <w:rFonts w:ascii="Roboto" w:hAnsi="Roboto" w:eastAsia="Roboto" w:cs="Roboto"/>
          <w:sz w:val="22"/>
          <w:szCs w:val="22"/>
        </w:rPr>
      </w:pPr>
    </w:p>
    <w:p w:rsidR="002914C7" w:rsidRDefault="00117554" w14:paraId="0DC38322" w14:textId="77777777">
      <w:pPr>
        <w:jc w:val="both"/>
        <w:rPr>
          <w:rFonts w:ascii="Roboto" w:hAnsi="Roboto" w:eastAsia="Roboto" w:cs="Roboto"/>
          <w:sz w:val="22"/>
          <w:szCs w:val="22"/>
          <w:lang w:val="es-ES"/>
        </w:rPr>
      </w:pPr>
      <w:r w:rsidRPr="1BD1E3D7">
        <w:rPr>
          <w:rFonts w:ascii="Roboto" w:hAnsi="Roboto" w:eastAsia="Roboto" w:cs="Roboto"/>
          <w:sz w:val="22"/>
          <w:szCs w:val="22"/>
          <w:lang w:val="es-ES"/>
        </w:rPr>
        <w:t xml:space="preserve">A nivel global, el </w:t>
      </w:r>
      <w:r w:rsidRPr="1BD1E3D7">
        <w:rPr>
          <w:rFonts w:ascii="Roboto" w:hAnsi="Roboto" w:eastAsia="Roboto" w:cs="Roboto"/>
          <w:b/>
          <w:bCs/>
          <w:sz w:val="22"/>
          <w:szCs w:val="22"/>
          <w:lang w:val="es-ES"/>
        </w:rPr>
        <w:t>1 de enero comenzará plenamente la actividad de la nueva organización Global Accreditation Cooperation Incorporated, fruto de la fusión de ILAC e IAF</w:t>
      </w:r>
      <w:r w:rsidRPr="1BD1E3D7">
        <w:rPr>
          <w:rFonts w:ascii="Roboto" w:hAnsi="Roboto" w:eastAsia="Roboto" w:cs="Roboto"/>
          <w:sz w:val="22"/>
          <w:szCs w:val="22"/>
          <w:lang w:val="es-ES"/>
        </w:rPr>
        <w:t>. En este sentido, ENAC continuará desempeñando un papel activo en los grupos de trabajo internacionales participando en la elaboración de criterios y en iniciativas para promover el conocimiento de la acreditación en Europa y el mundo.</w:t>
      </w:r>
    </w:p>
    <w:p w:rsidR="002914C7" w:rsidRDefault="002914C7" w14:paraId="0DC38323" w14:textId="77777777">
      <w:pPr>
        <w:pBdr>
          <w:top w:val="nil"/>
          <w:left w:val="nil"/>
          <w:bottom w:val="nil"/>
          <w:right w:val="nil"/>
          <w:between w:val="nil"/>
        </w:pBdr>
        <w:jc w:val="both"/>
        <w:rPr>
          <w:rFonts w:ascii="Roboto" w:hAnsi="Roboto" w:eastAsia="Roboto" w:cs="Roboto"/>
          <w:sz w:val="22"/>
          <w:szCs w:val="22"/>
        </w:rPr>
      </w:pPr>
    </w:p>
    <w:p w:rsidR="002914C7" w:rsidRDefault="00117554" w14:paraId="0DC38324" w14:textId="77777777">
      <w:pPr>
        <w:pBdr>
          <w:top w:val="nil"/>
          <w:left w:val="nil"/>
          <w:bottom w:val="nil"/>
          <w:right w:val="nil"/>
          <w:between w:val="nil"/>
        </w:pBdr>
        <w:jc w:val="both"/>
        <w:rPr>
          <w:rFonts w:ascii="Roboto" w:hAnsi="Roboto" w:eastAsia="Roboto" w:cs="Roboto"/>
          <w:b/>
          <w:bCs/>
          <w:color w:val="E83544"/>
          <w:sz w:val="22"/>
          <w:szCs w:val="22"/>
        </w:rPr>
      </w:pPr>
      <w:r>
        <w:rPr>
          <w:rFonts w:ascii="Roboto" w:hAnsi="Roboto" w:eastAsia="Roboto" w:cs="Roboto"/>
          <w:b/>
          <w:bCs/>
          <w:color w:val="E83544"/>
          <w:sz w:val="22"/>
          <w:szCs w:val="22"/>
        </w:rPr>
        <w:t>Sobre ENAC</w:t>
      </w:r>
    </w:p>
    <w:p w:rsidR="002914C7" w:rsidRDefault="002914C7" w14:paraId="0DC38325" w14:textId="77777777">
      <w:pPr>
        <w:pBdr>
          <w:top w:val="nil"/>
          <w:left w:val="nil"/>
          <w:bottom w:val="nil"/>
          <w:right w:val="nil"/>
          <w:between w:val="nil"/>
        </w:pBdr>
        <w:jc w:val="both"/>
        <w:rPr>
          <w:rFonts w:ascii="Roboto" w:hAnsi="Roboto" w:eastAsia="Roboto" w:cs="Roboto"/>
          <w:b/>
          <w:bCs/>
          <w:color w:val="E83544"/>
          <w:sz w:val="22"/>
          <w:szCs w:val="22"/>
        </w:rPr>
      </w:pPr>
    </w:p>
    <w:p w:rsidR="002914C7" w:rsidRDefault="00117554" w14:paraId="0DC38326" w14:textId="77777777">
      <w:pPr>
        <w:pBdr>
          <w:top w:val="nil"/>
          <w:left w:val="nil"/>
          <w:bottom w:val="nil"/>
          <w:right w:val="nil"/>
          <w:between w:val="nil"/>
        </w:pBdr>
        <w:jc w:val="both"/>
        <w:rPr>
          <w:rFonts w:ascii="Roboto" w:hAnsi="Roboto" w:eastAsia="Roboto" w:cs="Roboto"/>
          <w:color w:val="000000"/>
          <w:sz w:val="22"/>
          <w:szCs w:val="22"/>
        </w:rPr>
      </w:pPr>
      <w:r>
        <w:rPr>
          <w:rFonts w:ascii="Roboto" w:hAnsi="Roboto" w:eastAsia="Roboto" w:cs="Roboto"/>
          <w:color w:val="000000"/>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rsidR="002914C7" w:rsidRDefault="002914C7" w14:paraId="0DC38327" w14:textId="77777777">
      <w:pPr>
        <w:pBdr>
          <w:top w:val="nil"/>
          <w:left w:val="nil"/>
          <w:bottom w:val="nil"/>
          <w:right w:val="nil"/>
          <w:between w:val="nil"/>
        </w:pBdr>
        <w:jc w:val="both"/>
        <w:rPr>
          <w:rFonts w:ascii="Roboto" w:hAnsi="Roboto" w:eastAsia="Roboto" w:cs="Roboto"/>
          <w:color w:val="000000"/>
          <w:sz w:val="22"/>
          <w:szCs w:val="22"/>
        </w:rPr>
      </w:pPr>
    </w:p>
    <w:p w:rsidR="002914C7" w:rsidRDefault="00117554" w14:paraId="0DC38328" w14:textId="77777777">
      <w:pPr>
        <w:pBdr>
          <w:top w:val="nil"/>
          <w:left w:val="nil"/>
          <w:bottom w:val="nil"/>
          <w:right w:val="nil"/>
          <w:between w:val="nil"/>
        </w:pBdr>
        <w:jc w:val="both"/>
        <w:rPr>
          <w:rFonts w:ascii="Roboto" w:hAnsi="Roboto" w:eastAsia="Roboto" w:cs="Roboto"/>
          <w:color w:val="000000"/>
          <w:sz w:val="22"/>
          <w:szCs w:val="22"/>
        </w:rPr>
      </w:pPr>
      <w:r>
        <w:rPr>
          <w:rFonts w:ascii="Roboto" w:hAnsi="Roboto" w:eastAsia="Roboto" w:cs="Roboto"/>
          <w:color w:val="000000"/>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2914C7" w:rsidRDefault="00117554" w14:paraId="0DC38329" w14:textId="77777777">
      <w:pPr>
        <w:pBdr>
          <w:top w:val="nil"/>
          <w:left w:val="nil"/>
          <w:bottom w:val="nil"/>
          <w:right w:val="nil"/>
          <w:between w:val="nil"/>
        </w:pBdr>
        <w:jc w:val="both"/>
        <w:rPr>
          <w:rFonts w:ascii="Roboto" w:hAnsi="Roboto" w:eastAsia="Roboto" w:cs="Roboto"/>
          <w:color w:val="000000"/>
          <w:sz w:val="22"/>
          <w:szCs w:val="22"/>
        </w:rPr>
      </w:pPr>
      <w:r>
        <w:rPr>
          <w:rFonts w:ascii="Roboto" w:hAnsi="Roboto" w:eastAsia="Roboto" w:cs="Roboto"/>
          <w:color w:val="000000"/>
          <w:sz w:val="22"/>
          <w:szCs w:val="22"/>
        </w:rPr>
        <w:t> </w:t>
      </w:r>
    </w:p>
    <w:p w:rsidR="002914C7" w:rsidRDefault="00117554" w14:paraId="0DC3832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000000"/>
          <w:sz w:val="22"/>
          <w:szCs w:val="22"/>
        </w:rPr>
      </w:pPr>
      <w:r>
        <w:rPr>
          <w:rFonts w:ascii="Roboto" w:hAnsi="Roboto" w:eastAsia="Roboto" w:cs="Roboto"/>
          <w:color w:val="000000"/>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2914C7" w:rsidRDefault="002914C7" w14:paraId="0DC3832B" w14:textId="77777777">
      <w:pPr>
        <w:pBdr>
          <w:top w:val="nil"/>
          <w:left w:val="nil"/>
          <w:bottom w:val="nil"/>
          <w:right w:val="nil"/>
          <w:between w:val="nil"/>
        </w:pBdr>
        <w:jc w:val="both"/>
        <w:rPr>
          <w:rFonts w:ascii="Roboto" w:hAnsi="Roboto" w:eastAsia="Roboto" w:cs="Roboto"/>
          <w:color w:val="000000"/>
          <w:sz w:val="22"/>
          <w:szCs w:val="22"/>
        </w:rPr>
      </w:pPr>
    </w:p>
    <w:p w:rsidR="002914C7" w:rsidRDefault="002914C7" w14:paraId="0DC3832C" w14:textId="77777777">
      <w:pPr>
        <w:pBdr>
          <w:top w:val="nil"/>
          <w:left w:val="nil"/>
          <w:bottom w:val="nil"/>
          <w:right w:val="nil"/>
          <w:between w:val="nil"/>
        </w:pBdr>
        <w:jc w:val="both"/>
        <w:rPr>
          <w:rFonts w:ascii="Roboto" w:hAnsi="Roboto" w:eastAsia="Roboto" w:cs="Roboto"/>
          <w:color w:val="000000"/>
          <w:sz w:val="22"/>
          <w:szCs w:val="22"/>
        </w:rPr>
      </w:pPr>
    </w:p>
    <w:p w:rsidR="002914C7" w:rsidRDefault="00117554" w14:paraId="0DC3832D" w14:textId="77777777">
      <w:pPr>
        <w:pBdr>
          <w:top w:val="nil"/>
          <w:left w:val="nil"/>
          <w:bottom w:val="single" w:color="000000" w:sz="12" w:space="1"/>
          <w:right w:val="nil"/>
          <w:between w:val="nil"/>
        </w:pBdr>
        <w:jc w:val="both"/>
        <w:rPr>
          <w:rFonts w:ascii="Roboto" w:hAnsi="Roboto" w:eastAsia="Roboto" w:cs="Roboto"/>
          <w:color w:val="E83544"/>
          <w:sz w:val="22"/>
          <w:szCs w:val="22"/>
        </w:rPr>
      </w:pPr>
      <w:hyperlink r:id="rId12">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2914C7" w:rsidRDefault="002914C7" w14:paraId="0DC3832E" w14:textId="77777777">
      <w:pPr>
        <w:pBdr>
          <w:top w:val="nil"/>
          <w:left w:val="nil"/>
          <w:bottom w:val="single" w:color="000000" w:sz="12" w:space="1"/>
          <w:right w:val="nil"/>
          <w:between w:val="nil"/>
        </w:pBdr>
        <w:jc w:val="both"/>
        <w:rPr>
          <w:rFonts w:ascii="Roboto" w:hAnsi="Roboto" w:eastAsia="Roboto" w:cs="Roboto"/>
          <w:color w:val="E83544"/>
          <w:sz w:val="22"/>
          <w:szCs w:val="22"/>
        </w:rPr>
      </w:pPr>
    </w:p>
    <w:p w:rsidR="002914C7" w:rsidRDefault="00117554" w14:paraId="0DC3832F" w14:textId="77777777">
      <w:pPr>
        <w:pBdr>
          <w:top w:val="nil"/>
          <w:left w:val="nil"/>
          <w:bottom w:val="single" w:color="000000" w:sz="12" w:space="1"/>
          <w:right w:val="nil"/>
          <w:between w:val="nil"/>
        </w:pBdr>
        <w:jc w:val="both"/>
        <w:rPr>
          <w:rFonts w:ascii="Roboto" w:hAnsi="Roboto" w:eastAsia="Roboto" w:cs="Roboto"/>
          <w:color w:val="000000"/>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114300" distB="114300" distL="114300" distR="114300" wp14:anchorId="0DC38337" wp14:editId="0DC38338">
            <wp:extent cx="309284" cy="309284"/>
            <wp:effectExtent l="0" t="0" r="0" b="0"/>
            <wp:docPr id="12481244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09284" cy="309284"/>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0DC38339" wp14:editId="0DC3833A">
            <wp:extent cx="304800" cy="304800"/>
            <wp:effectExtent l="0" t="0" r="0" b="0"/>
            <wp:docPr id="12481244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rsidR="002914C7" w:rsidRDefault="002914C7" w14:paraId="0DC38330" w14:textId="77777777">
      <w:pPr>
        <w:pBdr>
          <w:top w:val="nil"/>
          <w:left w:val="nil"/>
          <w:bottom w:val="single" w:color="000000" w:sz="12" w:space="1"/>
          <w:right w:val="nil"/>
          <w:between w:val="nil"/>
        </w:pBdr>
        <w:jc w:val="both"/>
        <w:rPr>
          <w:rFonts w:ascii="Roboto" w:hAnsi="Roboto" w:eastAsia="Roboto" w:cs="Roboto"/>
          <w:color w:val="E83544"/>
          <w:sz w:val="22"/>
          <w:szCs w:val="22"/>
        </w:rPr>
      </w:pPr>
    </w:p>
    <w:p w:rsidR="002914C7" w:rsidRDefault="002914C7" w14:paraId="0DC38331" w14:textId="77777777">
      <w:pPr>
        <w:pBdr>
          <w:top w:val="nil"/>
          <w:left w:val="nil"/>
          <w:bottom w:val="nil"/>
          <w:right w:val="nil"/>
          <w:between w:val="nil"/>
        </w:pBdr>
        <w:jc w:val="both"/>
        <w:rPr>
          <w:rFonts w:ascii="Roboto" w:hAnsi="Roboto" w:eastAsia="Roboto" w:cs="Roboto"/>
          <w:color w:val="E83544"/>
          <w:sz w:val="22"/>
          <w:szCs w:val="22"/>
        </w:rPr>
      </w:pPr>
    </w:p>
    <w:p w:rsidR="002914C7" w:rsidRDefault="00117554" w14:paraId="0DC38332" w14:textId="77777777">
      <w:pPr>
        <w:pBdr>
          <w:top w:val="nil"/>
          <w:left w:val="nil"/>
          <w:bottom w:val="nil"/>
          <w:right w:val="nil"/>
          <w:between w:val="nil"/>
        </w:pBdr>
        <w:jc w:val="both"/>
        <w:rPr>
          <w:rFonts w:ascii="Roboto" w:hAnsi="Roboto" w:eastAsia="Roboto" w:cs="Roboto"/>
          <w:color w:val="000000"/>
          <w:sz w:val="22"/>
          <w:szCs w:val="22"/>
        </w:rPr>
      </w:pPr>
      <w:r>
        <w:rPr>
          <w:rFonts w:ascii="Roboto" w:hAnsi="Roboto" w:eastAsia="Roboto" w:cs="Roboto"/>
          <w:color w:val="000000"/>
          <w:sz w:val="22"/>
          <w:szCs w:val="22"/>
        </w:rPr>
        <w:t>Para más información sobre la nota de prensa, resolver dudas o gestionar entrevistas</w:t>
      </w:r>
    </w:p>
    <w:p w:rsidR="002914C7" w:rsidRDefault="00117554" w14:paraId="0DC38333" w14:textId="77777777">
      <w:pPr>
        <w:pBdr>
          <w:top w:val="nil"/>
          <w:left w:val="nil"/>
          <w:bottom w:val="nil"/>
          <w:right w:val="nil"/>
          <w:between w:val="nil"/>
        </w:pBdr>
        <w:jc w:val="both"/>
        <w:rPr>
          <w:rFonts w:ascii="Roboto" w:hAnsi="Roboto" w:eastAsia="Roboto" w:cs="Roboto"/>
          <w:color w:val="000000"/>
          <w:sz w:val="22"/>
          <w:szCs w:val="22"/>
        </w:rPr>
      </w:pPr>
      <w:r>
        <w:rPr>
          <w:rFonts w:ascii="Roboto" w:hAnsi="Roboto" w:eastAsia="Roboto" w:cs="Roboto"/>
          <w:color w:val="000000"/>
          <w:sz w:val="22"/>
          <w:szCs w:val="22"/>
        </w:rPr>
        <w:t>Eva Martín</w:t>
      </w:r>
    </w:p>
    <w:p w:rsidR="002914C7" w:rsidRDefault="00117554" w14:paraId="0DC38334" w14:textId="77777777">
      <w:pPr>
        <w:pBdr>
          <w:top w:val="nil"/>
          <w:left w:val="nil"/>
          <w:bottom w:val="nil"/>
          <w:right w:val="nil"/>
          <w:between w:val="nil"/>
        </w:pBdr>
        <w:jc w:val="both"/>
        <w:rPr>
          <w:rFonts w:ascii="Roboto" w:hAnsi="Roboto" w:eastAsia="Roboto" w:cs="Roboto"/>
          <w:color w:val="000000"/>
          <w:sz w:val="22"/>
          <w:szCs w:val="22"/>
        </w:rPr>
      </w:pPr>
      <w:r>
        <w:rPr>
          <w:rFonts w:ascii="Roboto" w:hAnsi="Roboto" w:eastAsia="Roboto" w:cs="Roboto"/>
          <w:color w:val="000000"/>
          <w:sz w:val="22"/>
          <w:szCs w:val="22"/>
        </w:rPr>
        <w:t xml:space="preserve">Tfno. 628 17 49 01 / </w:t>
      </w:r>
      <w:r>
        <w:rPr>
          <w:rFonts w:ascii="Roboto" w:hAnsi="Roboto" w:eastAsia="Roboto" w:cs="Roboto"/>
          <w:color w:val="E83544"/>
          <w:sz w:val="22"/>
          <w:szCs w:val="22"/>
        </w:rPr>
        <w:t xml:space="preserve"> </w:t>
      </w:r>
      <w:hyperlink r:id="rId15">
        <w:r>
          <w:rPr>
            <w:rFonts w:ascii="Roboto" w:hAnsi="Roboto" w:eastAsia="Roboto" w:cs="Roboto"/>
            <w:color w:val="E83544"/>
            <w:sz w:val="22"/>
            <w:szCs w:val="22"/>
            <w:u w:val="single"/>
          </w:rPr>
          <w:t>evamc@varenga.es</w:t>
        </w:r>
      </w:hyperlink>
    </w:p>
    <w:p w:rsidR="002914C7" w:rsidRDefault="002914C7" w14:paraId="0DC38335" w14:textId="77777777">
      <w:pPr>
        <w:pBdr>
          <w:top w:val="nil"/>
          <w:left w:val="nil"/>
          <w:bottom w:val="nil"/>
          <w:right w:val="nil"/>
          <w:between w:val="nil"/>
        </w:pBdr>
        <w:spacing w:after="160"/>
        <w:jc w:val="both"/>
        <w:rPr>
          <w:rFonts w:ascii="Roboto" w:hAnsi="Roboto" w:eastAsia="Roboto" w:cs="Roboto"/>
          <w:color w:val="333333"/>
          <w:sz w:val="27"/>
          <w:szCs w:val="27"/>
          <w:highlight w:val="white"/>
        </w:rPr>
      </w:pPr>
    </w:p>
    <w:p w:rsidR="002914C7" w:rsidRDefault="002914C7" w14:paraId="0DC38336" w14:textId="77777777">
      <w:pPr>
        <w:pBdr>
          <w:top w:val="nil"/>
          <w:left w:val="nil"/>
          <w:bottom w:val="nil"/>
          <w:right w:val="nil"/>
          <w:between w:val="nil"/>
        </w:pBdr>
        <w:rPr>
          <w:rFonts w:ascii="Calibri" w:hAnsi="Calibri" w:eastAsia="Calibri" w:cs="Calibri"/>
          <w:color w:val="000000"/>
          <w:highlight w:val="white"/>
        </w:rPr>
      </w:pPr>
    </w:p>
    <w:sectPr w:rsidR="002914C7">
      <w:headerReference w:type="even" r:id="rId16"/>
      <w:headerReference w:type="default" r:id="rId17"/>
      <w:footerReference w:type="even" r:id="rId18"/>
      <w:footerReference w:type="default" r:id="rId19"/>
      <w:headerReference w:type="first" r:id="rId20"/>
      <w:footerReference w:type="first" r:id="rId21"/>
      <w:pgSz w:w="11906" w:h="16838" w:orient="portrait"/>
      <w:pgMar w:top="1320"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E7572" w:rsidRDefault="00EE7572" w14:paraId="1245B580" w14:textId="77777777">
      <w:r>
        <w:separator/>
      </w:r>
    </w:p>
  </w:endnote>
  <w:endnote w:type="continuationSeparator" w:id="0">
    <w:p w:rsidR="00EE7572" w:rsidRDefault="00EE7572" w14:paraId="0F4C172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C87AFFCF-6BD5-463B-A711-0F10C499991F}" r:id="rId1"/>
    <w:embedItalic w:fontKey="{DAA03497-AD77-4CEB-82B8-1997940A3158}" r:id="rId2"/>
  </w:font>
  <w:font w:name="Roboto">
    <w:charset w:val="00"/>
    <w:family w:val="auto"/>
    <w:pitch w:val="variable"/>
    <w:sig w:usb0="E0000AFF" w:usb1="5000217F" w:usb2="00000021" w:usb3="00000000" w:csb0="0000019F" w:csb1="00000000"/>
    <w:embedRegular w:fontKey="{DDC2BD82-3A05-4F9F-A9B5-E8DB3092F78F}" r:id="rId3"/>
    <w:embedBold w:fontKey="{21461933-2134-4AC4-A5E2-77ABA8A9788B}" r:id="rId4"/>
  </w:font>
  <w:font w:name="Calibri">
    <w:panose1 w:val="020F0502020204030204"/>
    <w:charset w:val="00"/>
    <w:family w:val="swiss"/>
    <w:pitch w:val="variable"/>
    <w:sig w:usb0="E4002EFF" w:usb1="C200247B" w:usb2="00000009" w:usb3="00000000" w:csb0="000001FF" w:csb1="00000000"/>
    <w:embedRegular w:fontKey="{9175A4FD-1EC4-4D40-A992-0B1C16FE182A}" r:id="rId5"/>
    <w:embedBold w:fontKey="{A3DF91EB-4E81-43FF-A963-B0B2DDC248E7}" r:id="rId6"/>
  </w:font>
  <w:font w:name="Cambria">
    <w:panose1 w:val="02040503050406030204"/>
    <w:charset w:val="00"/>
    <w:family w:val="roman"/>
    <w:pitch w:val="variable"/>
    <w:sig w:usb0="E00006FF" w:usb1="420024FF" w:usb2="02000000" w:usb3="00000000" w:csb0="0000019F" w:csb1="00000000"/>
    <w:embedRegular w:fontKey="{3B2BC4DB-4572-4E10-AA76-3DFCDDC920A5}"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14C7" w:rsidRDefault="002914C7" w14:paraId="0DC3833F"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14C7" w:rsidRDefault="00117554" w14:paraId="0DC38340" w14:textId="1D93E179">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592607">
      <w:rPr>
        <w:noProof/>
        <w:color w:val="000000"/>
      </w:rPr>
      <w:t>1</w:t>
    </w:r>
    <w:r>
      <w:rPr>
        <w:color w:val="000000"/>
      </w:rPr>
      <w:fldChar w:fldCharType="end"/>
    </w:r>
  </w:p>
  <w:p w:rsidR="002914C7" w:rsidRDefault="002914C7" w14:paraId="0DC38341"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14C7" w:rsidRDefault="002914C7" w14:paraId="0DC38343"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E7572" w:rsidRDefault="00EE7572" w14:paraId="72FCA692" w14:textId="77777777">
      <w:r>
        <w:separator/>
      </w:r>
    </w:p>
  </w:footnote>
  <w:footnote w:type="continuationSeparator" w:id="0">
    <w:p w:rsidR="00EE7572" w:rsidRDefault="00EE7572" w14:paraId="4AA18B7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14C7" w:rsidRDefault="002914C7" w14:paraId="0DC3833B"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914C7" w:rsidRDefault="00117554" w14:paraId="0DC3833C" w14:textId="77777777">
    <w:pPr>
      <w:pBdr>
        <w:top w:val="nil"/>
        <w:left w:val="nil"/>
        <w:bottom w:val="nil"/>
        <w:right w:val="nil"/>
        <w:between w:val="nil"/>
      </w:pBdr>
      <w:ind w:left="-120"/>
      <w:jc w:val="both"/>
      <w:rPr>
        <w:rFonts w:ascii="Calibri" w:hAnsi="Calibri" w:eastAsia="Calibri" w:cs="Calibri"/>
        <w:b/>
        <w:bCs/>
        <w:color w:val="000000"/>
        <w:sz w:val="40"/>
        <w:szCs w:val="40"/>
      </w:rPr>
    </w:pPr>
    <w:r>
      <w:rPr>
        <w:noProof/>
      </w:rPr>
      <w:drawing>
        <wp:anchor distT="114300" distB="114300" distL="114300" distR="114300" simplePos="0" relativeHeight="251658240" behindDoc="0" locked="0" layoutInCell="1" hidden="0" allowOverlap="1" wp14:anchorId="0DC38344" wp14:editId="0DC38345">
          <wp:simplePos x="0" y="0"/>
          <wp:positionH relativeFrom="column">
            <wp:posOffset>4281170</wp:posOffset>
          </wp:positionH>
          <wp:positionV relativeFrom="paragraph">
            <wp:posOffset>-303526</wp:posOffset>
          </wp:positionV>
          <wp:extent cx="1379220" cy="889000"/>
          <wp:effectExtent l="0" t="0" r="0" b="0"/>
          <wp:wrapSquare wrapText="bothSides" distT="114300" distB="114300" distL="114300" distR="114300"/>
          <wp:docPr id="12481244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79220" cy="889000"/>
                  </a:xfrm>
                  <a:prstGeom prst="rect">
                    <a:avLst/>
                  </a:prstGeom>
                  <a:ln/>
                </pic:spPr>
              </pic:pic>
            </a:graphicData>
          </a:graphic>
        </wp:anchor>
      </w:drawing>
    </w:r>
  </w:p>
  <w:p w:rsidR="002914C7" w:rsidRDefault="00117554" w14:paraId="0DC3833D" w14:textId="77777777">
    <w:pPr>
      <w:pBdr>
        <w:top w:val="nil"/>
        <w:left w:val="nil"/>
        <w:bottom w:val="nil"/>
        <w:right w:val="nil"/>
        <w:between w:val="nil"/>
      </w:pBdr>
      <w:ind w:left="-120"/>
      <w:jc w:val="both"/>
      <w:rPr>
        <w:rFonts w:ascii="Roboto" w:hAnsi="Roboto" w:eastAsia="Roboto" w:cs="Roboto"/>
        <w:color w:val="000000"/>
        <w:sz w:val="22"/>
        <w:szCs w:val="22"/>
      </w:rPr>
    </w:pPr>
    <w:r>
      <w:rPr>
        <w:rFonts w:ascii="Roboto" w:hAnsi="Roboto" w:eastAsia="Roboto" w:cs="Roboto"/>
        <w:b/>
        <w:bCs/>
        <w:color w:val="000000"/>
        <w:sz w:val="40"/>
        <w:szCs w:val="40"/>
      </w:rPr>
      <w:t>NOTA DE PRENSA</w:t>
    </w:r>
    <w:r>
      <w:rPr>
        <w:rFonts w:ascii="Roboto" w:hAnsi="Roboto" w:eastAsia="Roboto" w:cs="Roboto"/>
        <w:color w:val="000000"/>
        <w:sz w:val="22"/>
        <w:szCs w:val="22"/>
      </w:rPr>
      <w:t xml:space="preserve"> </w:t>
    </w:r>
  </w:p>
  <w:p w:rsidR="002914C7" w:rsidRDefault="002914C7" w14:paraId="0DC3833E" w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14C7" w:rsidRDefault="002914C7" w14:paraId="0DC38342"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24F58"/>
    <w:multiLevelType w:val="multilevel"/>
    <w:tmpl w:val="41F83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1164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4C7"/>
    <w:rsid w:val="00034F63"/>
    <w:rsid w:val="00117554"/>
    <w:rsid w:val="00134824"/>
    <w:rsid w:val="002508E2"/>
    <w:rsid w:val="002914C7"/>
    <w:rsid w:val="00300DC7"/>
    <w:rsid w:val="00377FD2"/>
    <w:rsid w:val="004D3502"/>
    <w:rsid w:val="004E4FEA"/>
    <w:rsid w:val="0056670B"/>
    <w:rsid w:val="00592607"/>
    <w:rsid w:val="005F0B6D"/>
    <w:rsid w:val="006D28E0"/>
    <w:rsid w:val="006E4BB2"/>
    <w:rsid w:val="007E4C2C"/>
    <w:rsid w:val="00857265"/>
    <w:rsid w:val="00C22394"/>
    <w:rsid w:val="00D00744"/>
    <w:rsid w:val="00E177C3"/>
    <w:rsid w:val="00EE7572"/>
    <w:rsid w:val="00FE66E8"/>
    <w:rsid w:val="1BD1E3D7"/>
    <w:rsid w:val="230D79BF"/>
    <w:rsid w:val="7055D2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382EE"/>
  <w15:docId w15:val="{EE7E90B5-BC8E-4904-A517-92799D36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Normal20" w:customStyle="1">
    <w:name w:val="Table Normal20"/>
    <w:rsid w:val="00C22394"/>
    <w:tblPr>
      <w:tblCellMar>
        <w:top w:w="0" w:type="dxa"/>
        <w:left w:w="0" w:type="dxa"/>
        <w:bottom w:w="0" w:type="dxa"/>
        <w:right w:w="0" w:type="dxa"/>
      </w:tblCellMar>
    </w:tblPr>
  </w:style>
  <w:style w:type="table" w:styleId="TableNormal11" w:customStyle="1">
    <w:name w:val="Table Normal11"/>
    <w:tblPr>
      <w:tblCellMar>
        <w:top w:w="0" w:type="dxa"/>
        <w:left w:w="0" w:type="dxa"/>
        <w:bottom w:w="0" w:type="dxa"/>
        <w:right w:w="0" w:type="dxa"/>
      </w:tblCellMar>
    </w:tblPr>
  </w:style>
  <w:style w:type="table" w:styleId="TableNormal10" w:customStyle="1">
    <w:name w:val="Table Normal10"/>
    <w:rsid w:val="00E9183A"/>
    <w:tblPr>
      <w:tblCellMar>
        <w:top w:w="0" w:type="dxa"/>
        <w:left w:w="0" w:type="dxa"/>
        <w:bottom w:w="0" w:type="dxa"/>
        <w:right w:w="0" w:type="dxa"/>
      </w:tblCellMar>
    </w:tblPr>
  </w:style>
  <w:style w:type="table" w:styleId="TableNormal8" w:customStyle="1">
    <w:name w:val="Table Normal8"/>
    <w:tblPr>
      <w:tblCellMar>
        <w:top w:w="0" w:type="dxa"/>
        <w:left w:w="0" w:type="dxa"/>
        <w:bottom w:w="0" w:type="dxa"/>
        <w:right w:w="0" w:type="dxa"/>
      </w:tblCellMar>
    </w:tblPr>
  </w:style>
  <w:style w:type="table" w:styleId="TableNormal7" w:customStyle="1">
    <w:name w:val="Table Normal7"/>
    <w:tblPr>
      <w:tblCellMar>
        <w:top w:w="0" w:type="dxa"/>
        <w:left w:w="0" w:type="dxa"/>
        <w:bottom w:w="0" w:type="dxa"/>
        <w:right w:w="0" w:type="dxa"/>
      </w:tblCellMar>
    </w:tblPr>
  </w:style>
  <w:style w:type="table" w:styleId="TableNormal6" w:customStyle="1">
    <w:name w:val="Table Normal6"/>
    <w:tblPr>
      <w:tblCellMar>
        <w:top w:w="0" w:type="dxa"/>
        <w:left w:w="0" w:type="dxa"/>
        <w:bottom w:w="0" w:type="dxa"/>
        <w:right w:w="0" w:type="dxa"/>
      </w:tblCellMar>
    </w:tblPr>
  </w:style>
  <w:style w:type="table" w:styleId="TableNormal5" w:customStyle="1">
    <w:name w:val="Table Normal5"/>
    <w:tblPr>
      <w:tblCellMar>
        <w:top w:w="0" w:type="dxa"/>
        <w:left w:w="0" w:type="dxa"/>
        <w:bottom w:w="0" w:type="dxa"/>
        <w:right w:w="0" w:type="dxa"/>
      </w:tblCellMar>
    </w:tblPr>
  </w:style>
  <w:style w:type="table" w:styleId="TableNormal4" w:customStyle="1">
    <w:name w:val="Table Normal4"/>
    <w:tblPr>
      <w:tblCellMar>
        <w:top w:w="0" w:type="dxa"/>
        <w:left w:w="0" w:type="dxa"/>
        <w:bottom w:w="0" w:type="dxa"/>
        <w:right w:w="0" w:type="dxa"/>
      </w:tblCellMar>
    </w:tblPr>
  </w:style>
  <w:style w:type="table" w:styleId="TableNormal3" w:customStyle="1">
    <w:name w:val="Table Normal3"/>
    <w:rsid w:val="009755B3"/>
    <w:tblPr>
      <w:tblCellMar>
        <w:top w:w="0" w:type="dxa"/>
        <w:left w:w="0" w:type="dxa"/>
        <w:bottom w:w="0" w:type="dxa"/>
        <w:right w:w="0" w:type="dxa"/>
      </w:tblCellMar>
    </w:tblPr>
  </w:style>
  <w:style w:type="table" w:styleId="TableNormal2" w:customStyle="1">
    <w:name w:val="Table Normal2"/>
    <w:rsid w:val="00A46C3D"/>
    <w:tblPr>
      <w:tblCellMar>
        <w:top w:w="0" w:type="dxa"/>
        <w:left w:w="0" w:type="dxa"/>
        <w:bottom w:w="0" w:type="dxa"/>
        <w:right w:w="0" w:type="dxa"/>
      </w:tblCellMar>
    </w:tblPr>
  </w:style>
  <w:style w:type="table" w:styleId="NormalTable0" w:customStyle="1">
    <w:name w:val="Normal Table0"/>
    <w:tblPr>
      <w:tblCellMar>
        <w:top w:w="0" w:type="dxa"/>
        <w:left w:w="0" w:type="dxa"/>
        <w:bottom w:w="0" w:type="dxa"/>
        <w:right w:w="0" w:type="dxa"/>
      </w:tblCellMar>
    </w:tblPr>
  </w:style>
  <w:style w:type="paragraph" w:styleId="Revision">
    <w:name w:val="Revision"/>
    <w:hidden/>
    <w:uiPriority w:val="99"/>
    <w:semiHidden/>
    <w:rsid w:val="007858B3"/>
  </w:style>
  <w:style w:type="character" w:styleId="Hyperlink">
    <w:name w:val="Hyperlink"/>
    <w:basedOn w:val="DefaultParagraphFont"/>
    <w:uiPriority w:val="99"/>
    <w:unhideWhenUsed/>
    <w:rsid w:val="00615075"/>
    <w:rPr>
      <w:color w:val="0000FF"/>
      <w:u w:val="single"/>
    </w:rPr>
  </w:style>
  <w:style w:type="paragraph" w:styleId="Header">
    <w:name w:val="header"/>
    <w:basedOn w:val="Normal2"/>
    <w:link w:val="HeaderChar"/>
    <w:uiPriority w:val="99"/>
    <w:semiHidden/>
    <w:unhideWhenUsed/>
    <w:rsid w:val="00C215DA"/>
    <w:pPr>
      <w:tabs>
        <w:tab w:val="center" w:pos="4252"/>
        <w:tab w:val="right" w:pos="8504"/>
      </w:tabs>
    </w:pPr>
  </w:style>
  <w:style w:type="character" w:styleId="HeaderChar" w:customStyle="1">
    <w:name w:val="Header Char"/>
    <w:basedOn w:val="DefaultParagraphFont"/>
    <w:link w:val="Header"/>
    <w:uiPriority w:val="99"/>
    <w:semiHidden/>
    <w:rsid w:val="00C215DA"/>
  </w:style>
  <w:style w:type="paragraph" w:styleId="Footer">
    <w:name w:val="footer"/>
    <w:basedOn w:val="Normal2"/>
    <w:link w:val="FooterChar"/>
    <w:uiPriority w:val="99"/>
    <w:semiHidden/>
    <w:unhideWhenUsed/>
    <w:rsid w:val="00C215DA"/>
    <w:pPr>
      <w:tabs>
        <w:tab w:val="center" w:pos="4252"/>
        <w:tab w:val="right" w:pos="8504"/>
      </w:tabs>
    </w:pPr>
  </w:style>
  <w:style w:type="character" w:styleId="FooterChar" w:customStyle="1">
    <w:name w:val="Footer Char"/>
    <w:basedOn w:val="DefaultParagraphFont"/>
    <w:link w:val="Footer"/>
    <w:uiPriority w:val="99"/>
    <w:semiHidden/>
    <w:rsid w:val="00C215DA"/>
  </w:style>
  <w:style w:type="character" w:styleId="FollowedHyperlink">
    <w:name w:val="FollowedHyperlink"/>
    <w:basedOn w:val="DefaultParagraphFont"/>
    <w:uiPriority w:val="99"/>
    <w:semiHidden/>
    <w:unhideWhenUsed/>
    <w:rsid w:val="00615075"/>
    <w:rPr>
      <w:color w:val="800080" w:themeColor="followedHyperlink"/>
      <w:u w:val="single"/>
    </w:rPr>
  </w:style>
  <w:style w:type="character" w:styleId="Strong">
    <w:name w:val="Strong"/>
    <w:basedOn w:val="DefaultParagraphFont"/>
    <w:uiPriority w:val="22"/>
    <w:qFormat/>
    <w:rsid w:val="001466CE"/>
    <w:rPr>
      <w:b/>
      <w:bCs/>
    </w:rPr>
  </w:style>
  <w:style w:type="character" w:styleId="CommentReference">
    <w:name w:val="annotation reference"/>
    <w:basedOn w:val="DefaultParagraphFont"/>
    <w:uiPriority w:val="99"/>
    <w:semiHidden/>
    <w:unhideWhenUsed/>
    <w:rsid w:val="003A12A1"/>
    <w:rPr>
      <w:sz w:val="16"/>
      <w:szCs w:val="16"/>
    </w:rPr>
  </w:style>
  <w:style w:type="paragraph" w:styleId="CommentText">
    <w:name w:val="annotation text"/>
    <w:basedOn w:val="Normal2"/>
    <w:link w:val="CommentTextChar"/>
    <w:uiPriority w:val="99"/>
    <w:unhideWhenUsed/>
    <w:rsid w:val="003A12A1"/>
    <w:rPr>
      <w:sz w:val="20"/>
      <w:szCs w:val="20"/>
    </w:rPr>
  </w:style>
  <w:style w:type="character" w:styleId="CommentTextChar" w:customStyle="1">
    <w:name w:val="Comment Text Char"/>
    <w:basedOn w:val="DefaultParagraphFont"/>
    <w:link w:val="CommentText"/>
    <w:uiPriority w:val="99"/>
    <w:rsid w:val="003A12A1"/>
    <w:rPr>
      <w:sz w:val="20"/>
      <w:szCs w:val="20"/>
    </w:rPr>
  </w:style>
  <w:style w:type="paragraph" w:styleId="CommentSubject">
    <w:name w:val="annotation subject"/>
    <w:basedOn w:val="CommentText"/>
    <w:next w:val="CommentText"/>
    <w:link w:val="CommentSubjectChar"/>
    <w:uiPriority w:val="99"/>
    <w:semiHidden/>
    <w:unhideWhenUsed/>
    <w:rsid w:val="003A12A1"/>
    <w:rPr>
      <w:b/>
      <w:bCs/>
    </w:rPr>
  </w:style>
  <w:style w:type="character" w:styleId="CommentSubjectChar" w:customStyle="1">
    <w:name w:val="Comment Subject Char"/>
    <w:basedOn w:val="CommentTextChar"/>
    <w:link w:val="CommentSubject"/>
    <w:uiPriority w:val="99"/>
    <w:semiHidden/>
    <w:rsid w:val="003A12A1"/>
    <w:rPr>
      <w:b/>
      <w:bCs/>
      <w:sz w:val="20"/>
      <w:szCs w:val="20"/>
    </w:rPr>
  </w:style>
  <w:style w:type="table" w:styleId="TableNormal1" w:customStyle="1">
    <w:name w:val="Table Normal1"/>
    <w:rsid w:val="00FB6A16"/>
    <w:tblPr>
      <w:tblCellMar>
        <w:top w:w="0" w:type="dxa"/>
        <w:left w:w="0" w:type="dxa"/>
        <w:bottom w:w="0" w:type="dxa"/>
        <w:right w:w="0" w:type="dxa"/>
      </w:tblCellMar>
    </w:tblPr>
  </w:style>
  <w:style w:type="table" w:styleId="TableNormal9" w:customStyle="1">
    <w:name w:val="Table Normal9"/>
    <w:rsid w:val="00E9183A"/>
    <w:tblPr>
      <w:tblCellMar>
        <w:top w:w="0" w:type="dxa"/>
        <w:left w:w="0" w:type="dxa"/>
        <w:bottom w:w="0" w:type="dxa"/>
        <w:right w:w="0" w:type="dxa"/>
      </w:tblCellMar>
    </w:tblPr>
  </w:style>
  <w:style w:type="paragraph" w:styleId="Normal0" w:customStyle="1">
    <w:name w:val="Normal0"/>
    <w:rsid w:val="00E9183A"/>
  </w:style>
  <w:style w:type="paragraph" w:styleId="heading10" w:customStyle="1">
    <w:name w:val="heading 10"/>
    <w:basedOn w:val="Normal0"/>
    <w:next w:val="Normal0"/>
    <w:rsid w:val="00E9183A"/>
    <w:rPr>
      <w:b/>
      <w:sz w:val="48"/>
      <w:szCs w:val="48"/>
    </w:rPr>
  </w:style>
  <w:style w:type="paragraph" w:styleId="heading20" w:customStyle="1">
    <w:name w:val="heading 20"/>
    <w:basedOn w:val="Normal0"/>
    <w:next w:val="Normal0"/>
    <w:rsid w:val="00E9183A"/>
    <w:pPr>
      <w:keepNext/>
      <w:keepLines/>
      <w:spacing w:before="360" w:after="80"/>
    </w:pPr>
    <w:rPr>
      <w:b/>
      <w:sz w:val="36"/>
      <w:szCs w:val="36"/>
    </w:rPr>
  </w:style>
  <w:style w:type="paragraph" w:styleId="heading30" w:customStyle="1">
    <w:name w:val="heading 30"/>
    <w:basedOn w:val="Normal0"/>
    <w:next w:val="Normal0"/>
    <w:rsid w:val="00E9183A"/>
    <w:pPr>
      <w:keepNext/>
      <w:keepLines/>
      <w:spacing w:before="280" w:after="80"/>
    </w:pPr>
    <w:rPr>
      <w:b/>
      <w:sz w:val="28"/>
      <w:szCs w:val="28"/>
    </w:rPr>
  </w:style>
  <w:style w:type="paragraph" w:styleId="heading40" w:customStyle="1">
    <w:name w:val="heading 40"/>
    <w:basedOn w:val="Normal0"/>
    <w:next w:val="Normal0"/>
    <w:rsid w:val="00E9183A"/>
    <w:pPr>
      <w:keepNext/>
      <w:keepLines/>
      <w:spacing w:before="240" w:after="40"/>
    </w:pPr>
    <w:rPr>
      <w:b/>
    </w:rPr>
  </w:style>
  <w:style w:type="paragraph" w:styleId="heading50" w:customStyle="1">
    <w:name w:val="heading 50"/>
    <w:basedOn w:val="Normal0"/>
    <w:next w:val="Normal0"/>
    <w:rsid w:val="00E9183A"/>
    <w:pPr>
      <w:keepNext/>
      <w:keepLines/>
      <w:spacing w:before="220" w:after="40"/>
    </w:pPr>
    <w:rPr>
      <w:b/>
      <w:sz w:val="22"/>
      <w:szCs w:val="22"/>
    </w:rPr>
  </w:style>
  <w:style w:type="paragraph" w:styleId="heading60" w:customStyle="1">
    <w:name w:val="heading 60"/>
    <w:basedOn w:val="Normal0"/>
    <w:next w:val="Normal0"/>
    <w:rsid w:val="00E9183A"/>
    <w:pPr>
      <w:keepNext/>
      <w:keepLines/>
      <w:spacing w:before="200" w:after="40"/>
    </w:pPr>
    <w:rPr>
      <w:b/>
      <w:sz w:val="20"/>
      <w:szCs w:val="20"/>
    </w:rPr>
  </w:style>
  <w:style w:type="paragraph" w:styleId="Title0" w:customStyle="1">
    <w:name w:val="Title0"/>
    <w:basedOn w:val="Normal0"/>
    <w:next w:val="Normal0"/>
    <w:rsid w:val="00E9183A"/>
    <w:pPr>
      <w:keepNext/>
      <w:keepLines/>
      <w:spacing w:before="480" w:after="120"/>
    </w:pPr>
    <w:rPr>
      <w:b/>
      <w:sz w:val="72"/>
      <w:szCs w:val="72"/>
    </w:rPr>
  </w:style>
  <w:style w:type="paragraph" w:styleId="Normal1" w:customStyle="1">
    <w:name w:val="Normal1"/>
    <w:rsid w:val="00E9183A"/>
  </w:style>
  <w:style w:type="table" w:styleId="NormalTable1" w:customStyle="1">
    <w:name w:val="Normal Table1"/>
    <w:rsid w:val="00E9183A"/>
    <w:tblPr>
      <w:tblCellMar>
        <w:top w:w="0" w:type="dxa"/>
        <w:left w:w="0" w:type="dxa"/>
        <w:bottom w:w="0" w:type="dxa"/>
        <w:right w:w="0" w:type="dxa"/>
      </w:tblCellMar>
    </w:tblPr>
  </w:style>
  <w:style w:type="paragraph" w:styleId="heading11" w:customStyle="1">
    <w:name w:val="heading 11"/>
    <w:basedOn w:val="Normal1"/>
    <w:next w:val="Normal1"/>
    <w:rsid w:val="00E9183A"/>
    <w:rPr>
      <w:b/>
      <w:sz w:val="48"/>
      <w:szCs w:val="48"/>
    </w:rPr>
  </w:style>
  <w:style w:type="paragraph" w:styleId="heading21" w:customStyle="1">
    <w:name w:val="heading 21"/>
    <w:basedOn w:val="Normal1"/>
    <w:next w:val="Normal1"/>
    <w:rsid w:val="00E9183A"/>
    <w:pPr>
      <w:keepNext/>
      <w:keepLines/>
      <w:spacing w:before="360" w:after="80"/>
    </w:pPr>
    <w:rPr>
      <w:b/>
      <w:sz w:val="36"/>
      <w:szCs w:val="36"/>
    </w:rPr>
  </w:style>
  <w:style w:type="paragraph" w:styleId="heading31" w:customStyle="1">
    <w:name w:val="heading 31"/>
    <w:basedOn w:val="Normal1"/>
    <w:next w:val="Normal1"/>
    <w:rsid w:val="00E9183A"/>
    <w:pPr>
      <w:keepNext/>
      <w:keepLines/>
      <w:spacing w:before="280" w:after="80"/>
    </w:pPr>
    <w:rPr>
      <w:b/>
      <w:sz w:val="28"/>
      <w:szCs w:val="28"/>
    </w:rPr>
  </w:style>
  <w:style w:type="paragraph" w:styleId="heading41" w:customStyle="1">
    <w:name w:val="heading 41"/>
    <w:basedOn w:val="Normal1"/>
    <w:next w:val="Normal1"/>
    <w:rsid w:val="00E9183A"/>
    <w:pPr>
      <w:keepNext/>
      <w:keepLines/>
      <w:spacing w:before="240" w:after="40"/>
    </w:pPr>
    <w:rPr>
      <w:b/>
    </w:rPr>
  </w:style>
  <w:style w:type="paragraph" w:styleId="heading51" w:customStyle="1">
    <w:name w:val="heading 51"/>
    <w:basedOn w:val="Normal1"/>
    <w:next w:val="Normal1"/>
    <w:rsid w:val="00E9183A"/>
    <w:pPr>
      <w:keepNext/>
      <w:keepLines/>
      <w:spacing w:before="220" w:after="40"/>
    </w:pPr>
    <w:rPr>
      <w:b/>
      <w:sz w:val="22"/>
      <w:szCs w:val="22"/>
    </w:rPr>
  </w:style>
  <w:style w:type="paragraph" w:styleId="heading61" w:customStyle="1">
    <w:name w:val="heading 61"/>
    <w:basedOn w:val="Normal1"/>
    <w:next w:val="Normal1"/>
    <w:rsid w:val="00E9183A"/>
    <w:pPr>
      <w:keepNext/>
      <w:keepLines/>
      <w:spacing w:before="200" w:after="40"/>
    </w:pPr>
    <w:rPr>
      <w:b/>
      <w:sz w:val="20"/>
      <w:szCs w:val="20"/>
    </w:rPr>
  </w:style>
  <w:style w:type="paragraph" w:styleId="Title1" w:customStyle="1">
    <w:name w:val="Title1"/>
    <w:basedOn w:val="Normal1"/>
    <w:next w:val="Normal1"/>
    <w:rsid w:val="00E9183A"/>
    <w:pPr>
      <w:keepNext/>
      <w:keepLines/>
      <w:spacing w:before="480" w:after="120"/>
    </w:pPr>
    <w:rPr>
      <w:b/>
      <w:sz w:val="72"/>
      <w:szCs w:val="72"/>
    </w:rPr>
  </w:style>
  <w:style w:type="paragraph" w:styleId="Normal2" w:customStyle="1">
    <w:name w:val="Normal2"/>
    <w:qFormat/>
    <w:rsid w:val="00E9183A"/>
  </w:style>
  <w:style w:type="paragraph" w:styleId="heading12" w:customStyle="1">
    <w:name w:val="heading 12"/>
    <w:basedOn w:val="Normal2"/>
    <w:next w:val="Normal2"/>
    <w:uiPriority w:val="9"/>
    <w:qFormat/>
    <w:rsid w:val="00E9183A"/>
    <w:pPr>
      <w:outlineLvl w:val="0"/>
    </w:pPr>
    <w:rPr>
      <w:b/>
      <w:sz w:val="48"/>
      <w:szCs w:val="48"/>
    </w:rPr>
  </w:style>
  <w:style w:type="paragraph" w:styleId="heading22" w:customStyle="1">
    <w:name w:val="heading 22"/>
    <w:basedOn w:val="Normal2"/>
    <w:next w:val="Normal2"/>
    <w:uiPriority w:val="9"/>
    <w:semiHidden/>
    <w:unhideWhenUsed/>
    <w:qFormat/>
    <w:rsid w:val="00E9183A"/>
    <w:pPr>
      <w:keepNext/>
      <w:keepLines/>
      <w:spacing w:before="360" w:after="80"/>
      <w:outlineLvl w:val="1"/>
    </w:pPr>
    <w:rPr>
      <w:b/>
      <w:sz w:val="36"/>
      <w:szCs w:val="36"/>
    </w:rPr>
  </w:style>
  <w:style w:type="paragraph" w:styleId="heading32" w:customStyle="1">
    <w:name w:val="heading 32"/>
    <w:basedOn w:val="Normal2"/>
    <w:next w:val="Normal2"/>
    <w:uiPriority w:val="9"/>
    <w:semiHidden/>
    <w:unhideWhenUsed/>
    <w:qFormat/>
    <w:rsid w:val="00E9183A"/>
    <w:pPr>
      <w:keepNext/>
      <w:keepLines/>
      <w:spacing w:before="280" w:after="80"/>
      <w:outlineLvl w:val="2"/>
    </w:pPr>
    <w:rPr>
      <w:b/>
      <w:sz w:val="28"/>
      <w:szCs w:val="28"/>
    </w:rPr>
  </w:style>
  <w:style w:type="paragraph" w:styleId="heading42" w:customStyle="1">
    <w:name w:val="heading 42"/>
    <w:basedOn w:val="Normal2"/>
    <w:next w:val="Normal2"/>
    <w:uiPriority w:val="9"/>
    <w:semiHidden/>
    <w:unhideWhenUsed/>
    <w:qFormat/>
    <w:rsid w:val="00E9183A"/>
    <w:pPr>
      <w:keepNext/>
      <w:keepLines/>
      <w:spacing w:before="240" w:after="40"/>
      <w:outlineLvl w:val="3"/>
    </w:pPr>
    <w:rPr>
      <w:b/>
    </w:rPr>
  </w:style>
  <w:style w:type="paragraph" w:styleId="heading52" w:customStyle="1">
    <w:name w:val="heading 52"/>
    <w:basedOn w:val="Normal2"/>
    <w:next w:val="Normal2"/>
    <w:uiPriority w:val="9"/>
    <w:semiHidden/>
    <w:unhideWhenUsed/>
    <w:qFormat/>
    <w:rsid w:val="00E9183A"/>
    <w:pPr>
      <w:keepNext/>
      <w:keepLines/>
      <w:spacing w:before="220" w:after="40"/>
      <w:outlineLvl w:val="4"/>
    </w:pPr>
    <w:rPr>
      <w:b/>
      <w:sz w:val="22"/>
      <w:szCs w:val="22"/>
    </w:rPr>
  </w:style>
  <w:style w:type="paragraph" w:styleId="heading62" w:customStyle="1">
    <w:name w:val="heading 62"/>
    <w:basedOn w:val="Normal2"/>
    <w:next w:val="Normal2"/>
    <w:uiPriority w:val="9"/>
    <w:semiHidden/>
    <w:unhideWhenUsed/>
    <w:qFormat/>
    <w:rsid w:val="00E9183A"/>
    <w:pPr>
      <w:keepNext/>
      <w:keepLines/>
      <w:spacing w:before="200" w:after="40"/>
      <w:outlineLvl w:val="5"/>
    </w:pPr>
    <w:rPr>
      <w:b/>
      <w:sz w:val="20"/>
      <w:szCs w:val="20"/>
    </w:rPr>
  </w:style>
  <w:style w:type="table" w:styleId="NormalTable2" w:customStyle="1">
    <w:name w:val="Normal Table2"/>
    <w:uiPriority w:val="99"/>
    <w:semiHidden/>
    <w:unhideWhenUsed/>
    <w:rsid w:val="00E9183A"/>
    <w:tblPr>
      <w:tblInd w:w="0" w:type="dxa"/>
      <w:tblCellMar>
        <w:top w:w="0" w:type="dxa"/>
        <w:left w:w="108" w:type="dxa"/>
        <w:bottom w:w="0" w:type="dxa"/>
        <w:right w:w="108" w:type="dxa"/>
      </w:tblCellMar>
    </w:tblPr>
  </w:style>
  <w:style w:type="paragraph" w:styleId="Title2" w:customStyle="1">
    <w:name w:val="Title2"/>
    <w:basedOn w:val="Normal2"/>
    <w:next w:val="Normal2"/>
    <w:uiPriority w:val="10"/>
    <w:qFormat/>
    <w:rsid w:val="00E9183A"/>
    <w:pPr>
      <w:keepNext/>
      <w:keepLines/>
      <w:spacing w:before="480" w:after="120"/>
    </w:pPr>
    <w:rPr>
      <w:b/>
      <w:sz w:val="72"/>
      <w:szCs w:val="72"/>
    </w:rPr>
  </w:style>
  <w:style w:type="table" w:styleId="NormalTable00" w:customStyle="1">
    <w:name w:val="Normal Table00"/>
    <w:rsid w:val="00E9183A"/>
    <w:tblPr>
      <w:tblCellMar>
        <w:top w:w="0" w:type="dxa"/>
        <w:left w:w="0" w:type="dxa"/>
        <w:bottom w:w="0" w:type="dxa"/>
        <w:right w:w="0" w:type="dxa"/>
      </w:tblCellMar>
    </w:tblPr>
  </w:style>
  <w:style w:type="paragraph" w:styleId="Subtitle0" w:customStyle="1">
    <w:name w:val="Subtitle0"/>
    <w:basedOn w:val="Normal2"/>
    <w:next w:val="Normal2"/>
    <w:rsid w:val="00E9183A"/>
    <w:pPr>
      <w:keepNext/>
      <w:keepLines/>
      <w:spacing w:before="360" w:after="80"/>
    </w:pPr>
    <w:rPr>
      <w:rFonts w:ascii="Georgia" w:hAnsi="Georgia" w:eastAsia="Georgia" w:cs="Georgia"/>
      <w:i/>
      <w:color w:val="666666"/>
      <w:sz w:val="48"/>
      <w:szCs w:val="48"/>
    </w:rPr>
  </w:style>
  <w:style w:type="paragraph" w:styleId="Subtitle1" w:customStyle="1">
    <w:name w:val="Subtitle1"/>
    <w:basedOn w:val="Normal2"/>
    <w:next w:val="Normal2"/>
    <w:rsid w:val="00E9183A"/>
    <w:pPr>
      <w:keepNext/>
      <w:keepLines/>
      <w:spacing w:before="360" w:after="80"/>
    </w:pPr>
    <w:rPr>
      <w:rFonts w:ascii="Georgia" w:hAnsi="Georgia" w:eastAsia="Georgia" w:cs="Georgia"/>
      <w:i/>
      <w:color w:val="666666"/>
      <w:sz w:val="48"/>
      <w:szCs w:val="48"/>
    </w:rPr>
  </w:style>
  <w:style w:type="paragraph" w:styleId="Subtitle2" w:customStyle="1">
    <w:name w:val="Subtitle2"/>
    <w:basedOn w:val="Normal2"/>
    <w:next w:val="Normal2"/>
    <w:rsid w:val="00E9183A"/>
    <w:pPr>
      <w:keepNext/>
      <w:keepLines/>
      <w:spacing w:before="360" w:after="80"/>
    </w:pPr>
    <w:rPr>
      <w:rFonts w:ascii="Georgia" w:hAnsi="Georgia" w:eastAsia="Georgia" w:cs="Georgia"/>
      <w:i/>
      <w:color w:val="666666"/>
      <w:sz w:val="48"/>
      <w:szCs w:val="48"/>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hAnsi="Georgia" w:eastAsia="Georgia" w:cs="Georgia"/>
      <w:i/>
      <w:iCs/>
      <w:color w:val="666666"/>
      <w:sz w:val="48"/>
      <w:szCs w:val="48"/>
    </w:rPr>
  </w:style>
  <w:style w:type="table" w:styleId="TableNormal12" w:customStyle="1">
    <w:name w:val="Table Normal12"/>
    <w:rsid w:val="00C22394"/>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yperlink" Target="http://www.enac.es"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enac.es/" TargetMode="External" Id="rId11" /><Relationship Type="http://schemas.openxmlformats.org/officeDocument/2006/relationships/numbering" Target="numbering.xml" Id="rId5" /><Relationship Type="http://schemas.openxmlformats.org/officeDocument/2006/relationships/hyperlink" Target="mailto:evamc@varenga.es"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pIFsD5UdkDkjedly9kHcC4WQMg==">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e3b63cab70c3de109051f9544653c1b7">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bcb13fa94513590ec2caa56d4e98af8"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032D3E-CC55-4BA4-816A-CE06BAF47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8E384-D61E-470C-8FEB-8B8F76D23324}">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4.xml><?xml version="1.0" encoding="utf-8"?>
<ds:datastoreItem xmlns:ds="http://schemas.openxmlformats.org/officeDocument/2006/customXml" ds:itemID="{79A814AD-A5E8-40B9-9BD0-39F230082C5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Irene Gonzalez Fernandez</dc:creator>
  <keywords/>
  <lastModifiedBy>Elena Lendinez Leal</lastModifiedBy>
  <revision>7</revision>
  <dcterms:created xsi:type="dcterms:W3CDTF">2024-02-01T03:31:00.0000000Z</dcterms:created>
  <dcterms:modified xsi:type="dcterms:W3CDTF">2026-01-07T14:24:38.9405655Z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