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4E16" w:rsidRDefault="00F24E16" w14:paraId="3B0D7FE1" w14:textId="77777777">
      <w:pPr>
        <w:pBdr>
          <w:top w:val="nil"/>
          <w:left w:val="nil"/>
          <w:bottom w:val="nil"/>
          <w:right w:val="nil"/>
          <w:between w:val="nil"/>
        </w:pBdr>
        <w:spacing w:after="0" w:line="240" w:lineRule="auto"/>
        <w:rPr>
          <w:color w:val="000000"/>
        </w:rPr>
      </w:pPr>
    </w:p>
    <w:p w:rsidR="00F24E16" w:rsidRDefault="00F24E16" w14:paraId="3B0D7FE2" w14:textId="77777777">
      <w:pPr>
        <w:pBdr>
          <w:top w:val="nil"/>
          <w:left w:val="nil"/>
          <w:bottom w:val="nil"/>
          <w:right w:val="nil"/>
          <w:between w:val="nil"/>
        </w:pBdr>
        <w:spacing w:after="0" w:line="240" w:lineRule="auto"/>
        <w:rPr>
          <w:b/>
          <w:sz w:val="24"/>
          <w:szCs w:val="24"/>
          <w:u w:val="single"/>
        </w:rPr>
      </w:pPr>
    </w:p>
    <w:p w:rsidR="00F24E16" w:rsidRDefault="00F24E16" w14:paraId="3B0D7FE3" w14:textId="77777777">
      <w:pPr>
        <w:pBdr>
          <w:top w:val="nil"/>
          <w:left w:val="nil"/>
          <w:bottom w:val="nil"/>
          <w:right w:val="nil"/>
          <w:between w:val="nil"/>
        </w:pBdr>
        <w:spacing w:after="0" w:line="240" w:lineRule="auto"/>
        <w:rPr>
          <w:color w:val="000000"/>
          <w:sz w:val="24"/>
          <w:szCs w:val="24"/>
          <w:u w:val="single"/>
        </w:rPr>
      </w:pPr>
    </w:p>
    <w:p w:rsidR="00F24E16" w:rsidRDefault="00F24E16" w14:paraId="3B0D7FE4" w14:textId="77777777">
      <w:pPr>
        <w:pBdr>
          <w:top w:val="nil"/>
          <w:left w:val="nil"/>
          <w:bottom w:val="nil"/>
          <w:right w:val="nil"/>
          <w:between w:val="nil"/>
        </w:pBdr>
        <w:spacing w:after="0" w:line="240" w:lineRule="auto"/>
        <w:rPr>
          <w:color w:val="000000"/>
          <w:sz w:val="28"/>
          <w:szCs w:val="28"/>
        </w:rPr>
      </w:pPr>
    </w:p>
    <w:p w:rsidR="00F24E16" w:rsidP="029DEDEA" w:rsidRDefault="000A5C41" w14:paraId="3B0D7FE5" w14:textId="77777777">
      <w:pPr>
        <w:spacing w:after="160" w:line="259" w:lineRule="auto"/>
        <w:jc w:val="center"/>
        <w:rPr>
          <w:b w:val="1"/>
          <w:bCs w:val="1"/>
          <w:color w:val="auto"/>
          <w:sz w:val="28"/>
          <w:szCs w:val="28"/>
        </w:rPr>
      </w:pPr>
      <w:r w:rsidRPr="029DEDEA" w:rsidR="000A5C41">
        <w:rPr>
          <w:b w:val="1"/>
          <w:bCs w:val="1"/>
          <w:color w:val="auto"/>
          <w:sz w:val="28"/>
          <w:szCs w:val="28"/>
        </w:rPr>
        <w:t xml:space="preserve">Alter </w:t>
      </w:r>
      <w:proofErr w:type="spellStart"/>
      <w:r w:rsidRPr="029DEDEA" w:rsidR="000A5C41">
        <w:rPr>
          <w:b w:val="1"/>
          <w:bCs w:val="1"/>
          <w:color w:val="auto"/>
          <w:sz w:val="28"/>
          <w:szCs w:val="28"/>
        </w:rPr>
        <w:t>Technology</w:t>
      </w:r>
      <w:proofErr w:type="spellEnd"/>
      <w:r w:rsidRPr="029DEDEA" w:rsidR="000A5C41">
        <w:rPr>
          <w:b w:val="1"/>
          <w:bCs w:val="1"/>
          <w:color w:val="auto"/>
          <w:sz w:val="28"/>
          <w:szCs w:val="28"/>
        </w:rPr>
        <w:t xml:space="preserve">, primer acreditado </w:t>
      </w:r>
      <w:r w:rsidRPr="029DEDEA" w:rsidR="000A5C41">
        <w:rPr>
          <w:b w:val="1"/>
          <w:bCs w:val="1"/>
          <w:color w:val="auto"/>
          <w:sz w:val="28"/>
          <w:szCs w:val="28"/>
        </w:rPr>
        <w:t>por ENAC</w:t>
      </w:r>
      <w:r w:rsidRPr="029DEDEA" w:rsidR="000A5C41">
        <w:rPr>
          <w:b w:val="1"/>
          <w:bCs w:val="1"/>
          <w:color w:val="auto"/>
          <w:sz w:val="28"/>
          <w:szCs w:val="28"/>
        </w:rPr>
        <w:t xml:space="preserve"> para convertirse en organismo notificado para la evaluación de drones en categoría abierta</w:t>
      </w:r>
    </w:p>
    <w:p w:rsidR="00F24E16" w:rsidP="029DEDEA" w:rsidRDefault="000A5C41" w14:paraId="3B0D7FE6" w14:textId="77777777" w14:noSpellErr="1">
      <w:pPr>
        <w:numPr>
          <w:ilvl w:val="0"/>
          <w:numId w:val="1"/>
        </w:numPr>
        <w:spacing w:after="160" w:line="259" w:lineRule="auto"/>
        <w:jc w:val="both"/>
        <w:rPr>
          <w:b w:val="1"/>
          <w:bCs w:val="1"/>
          <w:color w:val="000000" w:themeColor="text1" w:themeTint="FF" w:themeShade="FF"/>
        </w:rPr>
      </w:pPr>
      <w:r w:rsidRPr="029DEDEA" w:rsidR="000A5C41">
        <w:rPr>
          <w:b w:val="1"/>
          <w:bCs w:val="1"/>
          <w:color w:val="auto"/>
        </w:rPr>
        <w:t>Para las clases de drones que requieran mayor garantía previa, el Reglamento exige que, antes de su comercialización, deben ser evaluados por organismos evaluadores de la conformidad que, una vez acreditados por ENAC, hayan sido notificados por la autorida</w:t>
      </w:r>
      <w:r w:rsidRPr="029DEDEA" w:rsidR="000A5C41">
        <w:rPr>
          <w:b w:val="1"/>
          <w:bCs w:val="1"/>
          <w:color w:val="auto"/>
        </w:rPr>
        <w:t>d notificante (AESA en España)</w:t>
      </w:r>
    </w:p>
    <w:p w:rsidR="00F24E16" w:rsidP="029DEDEA" w:rsidRDefault="000A5C41" w14:paraId="3B0D7FE7" w14:textId="77777777" w14:noSpellErr="1">
      <w:pPr>
        <w:numPr>
          <w:ilvl w:val="0"/>
          <w:numId w:val="1"/>
        </w:numPr>
        <w:spacing w:after="160" w:line="259" w:lineRule="auto"/>
        <w:jc w:val="both"/>
        <w:rPr>
          <w:b w:val="1"/>
          <w:bCs w:val="1"/>
          <w:color w:val="000000" w:themeColor="text1" w:themeTint="FF" w:themeShade="FF"/>
        </w:rPr>
      </w:pPr>
      <w:r w:rsidRPr="029DEDEA" w:rsidR="000A5C41">
        <w:rPr>
          <w:b w:val="1"/>
          <w:bCs w:val="1"/>
          <w:color w:val="auto"/>
        </w:rPr>
        <w:t>Se convierte así en el primer organismo acreditado para realizar esta actividad tanto en España como en Europa</w:t>
      </w:r>
    </w:p>
    <w:p w:rsidR="00F24E16" w:rsidRDefault="000A5C41" w14:paraId="3B0D7FE8" w14:textId="6F942F4C">
      <w:pPr>
        <w:jc w:val="both"/>
      </w:pPr>
      <w:r w:rsidR="000A5C41">
        <w:rPr/>
        <w:t xml:space="preserve">Madrid, 20 de enero de 2022.- </w:t>
      </w:r>
      <w:r w:rsidR="000A5C41">
        <w:rPr/>
        <w:t>La Entidad Nacional de Acreditación (</w:t>
      </w:r>
      <w:r w:rsidR="000A5C41">
        <w:rPr/>
        <w:t>ENAC</w:t>
      </w:r>
      <w:r w:rsidR="000A5C41">
        <w:rPr/>
        <w:t>)</w:t>
      </w:r>
      <w:r w:rsidR="000A5C41">
        <w:rPr/>
        <w:t xml:space="preserve"> ha concedido </w:t>
      </w:r>
      <w:r w:rsidR="000A5C41">
        <w:rPr/>
        <w:t>la acreditació</w:t>
      </w:r>
      <w:r w:rsidR="000A5C41">
        <w:rPr/>
        <w:t>n a</w:t>
      </w:r>
      <w:r w:rsidRPr="029DEDEA" w:rsidR="000A5C41">
        <w:rPr>
          <w:b w:val="1"/>
          <w:bCs w:val="1"/>
        </w:rPr>
        <w:t xml:space="preserve"> Alter </w:t>
      </w:r>
      <w:proofErr w:type="spellStart"/>
      <w:r w:rsidRPr="029DEDEA" w:rsidR="000A5C41">
        <w:rPr>
          <w:b w:val="1"/>
          <w:bCs w:val="1"/>
        </w:rPr>
        <w:t>Technology</w:t>
      </w:r>
      <w:proofErr w:type="spellEnd"/>
      <w:r w:rsidR="000A5C41">
        <w:rPr/>
        <w:t xml:space="preserve"> para evaluar la conformidad de determinadas categorías de aeronaves no tripuladas (los populares drones), según lo establecido en el </w:t>
      </w:r>
      <w:hyperlink r:id="R8866a8e481364b28">
        <w:r w:rsidRPr="029DEDEA" w:rsidR="000A5C41">
          <w:rPr>
            <w:rStyle w:val="Hipervnculo"/>
          </w:rPr>
          <w:t>Reglamento de Ejecución (UE) 2019/945</w:t>
        </w:r>
      </w:hyperlink>
      <w:r w:rsidR="000A5C41">
        <w:rPr/>
        <w:t xml:space="preserve">. Alter </w:t>
      </w:r>
      <w:proofErr w:type="spellStart"/>
      <w:r w:rsidR="000A5C41">
        <w:rPr/>
        <w:t>Technology</w:t>
      </w:r>
      <w:proofErr w:type="spellEnd"/>
      <w:r w:rsidR="000A5C41">
        <w:rPr/>
        <w:t xml:space="preserve"> </w:t>
      </w:r>
      <w:r w:rsidRPr="029DEDEA" w:rsidR="000A5C41">
        <w:rPr>
          <w:b w:val="1"/>
          <w:bCs w:val="1"/>
        </w:rPr>
        <w:t>se convierte así en el primer organismo acredi</w:t>
      </w:r>
      <w:r w:rsidRPr="029DEDEA" w:rsidR="000A5C41">
        <w:rPr>
          <w:b w:val="1"/>
          <w:bCs w:val="1"/>
        </w:rPr>
        <w:t>tado para realizar esta actividad tanto en España como en Europa</w:t>
      </w:r>
      <w:r w:rsidR="000A5C41">
        <w:rPr/>
        <w:t xml:space="preserve">. </w:t>
      </w:r>
    </w:p>
    <w:p w:rsidR="00F24E16" w:rsidRDefault="000A5C41" w14:paraId="3B0D7FE9" w14:textId="77777777">
      <w:pPr>
        <w:spacing w:after="160" w:line="259" w:lineRule="auto"/>
        <w:jc w:val="both"/>
      </w:pPr>
      <w:r>
        <w:t xml:space="preserve">Esta acreditación permite a Alter </w:t>
      </w:r>
      <w:proofErr w:type="spellStart"/>
      <w:r>
        <w:t>Technology</w:t>
      </w:r>
      <w:proofErr w:type="spellEnd"/>
      <w:r>
        <w:t xml:space="preserve"> solicitar la correspondiente notificación a la Agencia Estatal de Seguridad Aérea, y, una vez notificado, comenzar a ofrecer sus servicios al me</w:t>
      </w:r>
      <w:r>
        <w:t>rcado.</w:t>
      </w:r>
    </w:p>
    <w:p w:rsidR="00F24E16" w:rsidRDefault="000A5C41" w14:paraId="3B0D7FEA" w14:textId="77777777">
      <w:pPr>
        <w:spacing w:after="160" w:line="259" w:lineRule="auto"/>
        <w:jc w:val="both"/>
      </w:pPr>
      <w:r>
        <w:t xml:space="preserve">La normativa europea establece que los drones (cuyas operaciones se clasifican en tres categorías en función del riesgo: abierta, específica y certificada) y los accesorios de identificación a distancia directa </w:t>
      </w:r>
      <w:r>
        <w:rPr>
          <w:b/>
        </w:rPr>
        <w:t xml:space="preserve">deben cumplir una serie de requisitos </w:t>
      </w:r>
      <w:r>
        <w:rPr>
          <w:b/>
        </w:rPr>
        <w:t>en relación con sus características y funcionalidades específicas, con el objetivo de evitar o atenuar posibles riesgos derivados de su utilización</w:t>
      </w:r>
      <w:r>
        <w:t xml:space="preserve"> y relacionados con la seguridad del vuelo, la privacidad y la protección de los datos personales, la segurid</w:t>
      </w:r>
      <w:r>
        <w:t>ad o el medioambiente.</w:t>
      </w:r>
    </w:p>
    <w:p w:rsidR="00F24E16" w:rsidRDefault="000A5C41" w14:paraId="3B0D7FEB" w14:textId="77777777">
      <w:pPr>
        <w:spacing w:after="160" w:line="259" w:lineRule="auto"/>
        <w:jc w:val="both"/>
      </w:pPr>
      <w:r>
        <w:t xml:space="preserve">Para las clases de drones que requieran mayor garantía previa, el Reglamento exige que, antes de su comercialización, deben ser evaluados por organismos evaluadores de la conformidad que deben haber sido notificados por la autoridad </w:t>
      </w:r>
      <w:r>
        <w:t>notificante (AESA en España). ENAC, por su parte, se encarga de la acreditación de esos organismos, que deben demostrar su competencia técnica según la norma UNE-EN ISO/IEC 17065 si desean ser notificados.</w:t>
      </w:r>
    </w:p>
    <w:p w:rsidR="00F24E16" w:rsidRDefault="000A5C41" w14:paraId="3B0D7FEC" w14:noSpellErr="1" w14:textId="18EF1DC0">
      <w:pPr>
        <w:spacing w:after="160" w:line="259" w:lineRule="auto"/>
        <w:jc w:val="both"/>
      </w:pPr>
    </w:p>
    <w:p w:rsidR="00F24E16" w:rsidRDefault="000A5C41" w14:paraId="3B0D7FED" w14:textId="77777777">
      <w:pPr>
        <w:jc w:val="both"/>
        <w:rPr>
          <w:u w:val="single"/>
        </w:rPr>
      </w:pPr>
      <w:r>
        <w:rPr>
          <w:b/>
          <w:u w:val="single"/>
        </w:rPr>
        <w:t>Sobre ENAC</w:t>
      </w:r>
    </w:p>
    <w:p w:rsidR="00F24E16" w:rsidRDefault="000A5C41" w14:paraId="3B0D7FEE" w14:textId="77777777">
      <w:pPr>
        <w:pBdr>
          <w:top w:val="nil"/>
          <w:left w:val="nil"/>
          <w:bottom w:val="nil"/>
          <w:right w:val="nil"/>
          <w:between w:val="nil"/>
        </w:pBdr>
        <w:spacing w:after="0" w:line="240" w:lineRule="auto"/>
        <w:jc w:val="both"/>
        <w:rPr>
          <w:color w:val="000000"/>
        </w:rPr>
      </w:pPr>
      <w:r>
        <w:rPr>
          <w:color w:val="000000"/>
        </w:rPr>
        <w:t xml:space="preserve">La Entidad Nacional de Acreditación – ENAC – es la entidad designada por el Gobierno para operar en España como el único Organismo Nacional de Acreditación, en aplicación del Reglamento (CE) </w:t>
      </w:r>
      <w:proofErr w:type="spellStart"/>
      <w:r>
        <w:rPr>
          <w:color w:val="000000"/>
        </w:rPr>
        <w:t>nº</w:t>
      </w:r>
      <w:proofErr w:type="spellEnd"/>
      <w:r>
        <w:rPr>
          <w:color w:val="000000"/>
        </w:rPr>
        <w:t xml:space="preserve"> 765/2008 del Parlamento Europeo que regula el funcionamiento d</w:t>
      </w:r>
      <w:r>
        <w:rPr>
          <w:color w:val="000000"/>
        </w:rPr>
        <w:t>e la acreditación en Europa.</w:t>
      </w:r>
    </w:p>
    <w:p w:rsidR="00F24E16" w:rsidRDefault="00F24E16" w14:paraId="3B0D7FEF" w14:textId="77777777">
      <w:pPr>
        <w:pBdr>
          <w:top w:val="nil"/>
          <w:left w:val="nil"/>
          <w:bottom w:val="nil"/>
          <w:right w:val="nil"/>
          <w:between w:val="nil"/>
        </w:pBdr>
        <w:spacing w:after="0" w:line="240" w:lineRule="auto"/>
        <w:jc w:val="both"/>
      </w:pPr>
    </w:p>
    <w:p w:rsidR="00F24E16" w:rsidRDefault="00F24E16" w14:paraId="3B0D7FF0" w14:textId="77777777">
      <w:pPr>
        <w:pBdr>
          <w:top w:val="nil"/>
          <w:left w:val="nil"/>
          <w:bottom w:val="nil"/>
          <w:right w:val="nil"/>
          <w:between w:val="nil"/>
        </w:pBdr>
        <w:spacing w:after="0" w:line="240" w:lineRule="auto"/>
        <w:jc w:val="both"/>
      </w:pPr>
    </w:p>
    <w:p w:rsidR="00F24E16" w:rsidRDefault="00F24E16" w14:paraId="3B0D7FF1" w14:textId="77777777">
      <w:pPr>
        <w:pBdr>
          <w:top w:val="nil"/>
          <w:left w:val="nil"/>
          <w:bottom w:val="nil"/>
          <w:right w:val="nil"/>
          <w:between w:val="nil"/>
        </w:pBdr>
        <w:spacing w:after="0" w:line="240" w:lineRule="auto"/>
        <w:jc w:val="both"/>
      </w:pPr>
    </w:p>
    <w:p w:rsidR="00F24E16" w:rsidRDefault="00F24E16" w14:paraId="3B0D7FF2" w14:textId="77777777">
      <w:pPr>
        <w:pBdr>
          <w:top w:val="nil"/>
          <w:left w:val="nil"/>
          <w:bottom w:val="nil"/>
          <w:right w:val="nil"/>
          <w:between w:val="nil"/>
        </w:pBdr>
        <w:spacing w:after="0" w:line="240" w:lineRule="auto"/>
        <w:jc w:val="both"/>
      </w:pPr>
    </w:p>
    <w:p w:rsidR="00F24E16" w:rsidRDefault="00F24E16" w14:paraId="3B0D7FF3" w14:textId="77777777">
      <w:pPr>
        <w:pBdr>
          <w:top w:val="nil"/>
          <w:left w:val="nil"/>
          <w:bottom w:val="nil"/>
          <w:right w:val="nil"/>
          <w:between w:val="nil"/>
        </w:pBdr>
        <w:spacing w:after="0" w:line="240" w:lineRule="auto"/>
        <w:jc w:val="both"/>
      </w:pPr>
    </w:p>
    <w:p w:rsidR="00F24E16" w:rsidRDefault="00F24E16" w14:paraId="3B0D7FF4" w14:textId="77777777">
      <w:pPr>
        <w:pBdr>
          <w:top w:val="nil"/>
          <w:left w:val="nil"/>
          <w:bottom w:val="nil"/>
          <w:right w:val="nil"/>
          <w:between w:val="nil"/>
        </w:pBdr>
        <w:spacing w:after="0" w:line="240" w:lineRule="auto"/>
        <w:jc w:val="both"/>
        <w:rPr>
          <w:color w:val="1F497D"/>
        </w:rPr>
      </w:pPr>
    </w:p>
    <w:p w:rsidR="00F24E16" w:rsidRDefault="00F24E16" w14:paraId="3B0D7FF5" w14:textId="77777777">
      <w:pPr>
        <w:pBdr>
          <w:top w:val="nil"/>
          <w:left w:val="nil"/>
          <w:bottom w:val="nil"/>
          <w:right w:val="nil"/>
          <w:between w:val="nil"/>
        </w:pBdr>
        <w:spacing w:after="0" w:line="240" w:lineRule="auto"/>
        <w:jc w:val="both"/>
      </w:pPr>
    </w:p>
    <w:p w:rsidR="00F24E16" w:rsidRDefault="00F24E16" w14:paraId="3B0D7FF6" w14:textId="77777777">
      <w:pPr>
        <w:pBdr>
          <w:top w:val="nil"/>
          <w:left w:val="nil"/>
          <w:bottom w:val="nil"/>
          <w:right w:val="nil"/>
          <w:between w:val="nil"/>
        </w:pBdr>
        <w:spacing w:after="0" w:line="240" w:lineRule="auto"/>
        <w:jc w:val="both"/>
      </w:pPr>
    </w:p>
    <w:p w:rsidR="00F24E16" w:rsidRDefault="000A5C41" w14:paraId="3B0D7FF7" w14:textId="77777777">
      <w:pPr>
        <w:pBdr>
          <w:top w:val="nil"/>
          <w:left w:val="nil"/>
          <w:bottom w:val="nil"/>
          <w:right w:val="nil"/>
          <w:between w:val="nil"/>
        </w:pBdr>
        <w:spacing w:after="0" w:line="240" w:lineRule="auto"/>
        <w:jc w:val="both"/>
        <w:rPr>
          <w:color w:val="000000"/>
        </w:rPr>
      </w:pPr>
      <w:r>
        <w:rPr>
          <w:color w:val="000000"/>
        </w:rPr>
        <w:t>ENAC tiene como misión generar confianza en el mercado y en la sociedad evaluando, a través de un sistema conforme a normas internacionales, la competencia técnica de laboratorios de ensayo o calibración, entidades de i</w:t>
      </w:r>
      <w:r>
        <w:rPr>
          <w:color w:val="000000"/>
        </w:rPr>
        <w:t>nspección, entidades de certificación y verificadores medioambientales que desarrollen su actividad en cualquier sector: industria,  energía, medio ambiente, sanidad, alimentación, investigación, desarrollo e innovación, transportes, telecomunicaciones, tu</w:t>
      </w:r>
      <w:r>
        <w:rPr>
          <w:color w:val="000000"/>
        </w:rPr>
        <w:t>rismo, servicios, construcción, etc. Contribuye, así, a la seguridad y el bienestar de las personas, la calidad de los productos y servicios, la protección del medioambiente y, con ello, al aumento de la competitividad de los productos y servicios españole</w:t>
      </w:r>
      <w:r>
        <w:rPr>
          <w:color w:val="000000"/>
        </w:rPr>
        <w:t>s y a una disminución de los costes para la sociedad debidos a estas actividades. </w:t>
      </w:r>
    </w:p>
    <w:p w:rsidR="00F24E16" w:rsidRDefault="00F24E16" w14:paraId="3B0D7FF8" w14:textId="77777777">
      <w:pPr>
        <w:pBdr>
          <w:top w:val="nil"/>
          <w:left w:val="nil"/>
          <w:bottom w:val="nil"/>
          <w:right w:val="nil"/>
          <w:between w:val="nil"/>
        </w:pBdr>
        <w:spacing w:after="0" w:line="240" w:lineRule="auto"/>
        <w:jc w:val="both"/>
      </w:pPr>
    </w:p>
    <w:p w:rsidR="00F24E16" w:rsidRDefault="000A5C41" w14:paraId="3B0D7FF9" w14:textId="77777777">
      <w:pPr>
        <w:pBdr>
          <w:top w:val="nil"/>
          <w:left w:val="nil"/>
          <w:bottom w:val="nil"/>
          <w:right w:val="nil"/>
          <w:between w:val="nil"/>
        </w:pBdr>
        <w:spacing w:after="0" w:line="240" w:lineRule="auto"/>
        <w:jc w:val="both"/>
        <w:rPr>
          <w:color w:val="000000"/>
        </w:rPr>
      </w:pPr>
      <w:r>
        <w:rPr>
          <w:color w:val="000000"/>
        </w:rPr>
        <w:t>La marca ENAC es la manera de distinguir si un certificado o informe está acreditado o no. Es la garantía de que la organización que lo emite es técnicamente competente par</w:t>
      </w:r>
      <w:r>
        <w:rPr>
          <w:color w:val="000000"/>
        </w:rPr>
        <w:t>a llevar a cabo la tarea que realiza, y lo es tanto en España como en los 100 países en los que la marca de ENAC es reconocida y aceptada gracias a los acuerdos de reconocimiento que ENAC ha suscrito con las entidades de acreditación de esos países.</w:t>
      </w:r>
    </w:p>
    <w:p w:rsidR="00F24E16" w:rsidRDefault="00F24E16" w14:paraId="3B0D7FFA" w14:textId="77777777">
      <w:pPr>
        <w:spacing w:after="0"/>
        <w:jc w:val="both"/>
      </w:pPr>
    </w:p>
    <w:p w:rsidR="00F24E16" w:rsidRDefault="000A5C41" w14:paraId="3B0D7FFB" w14:textId="77777777">
      <w:pPr>
        <w:pBdr>
          <w:top w:val="nil"/>
          <w:left w:val="nil"/>
          <w:bottom w:val="single" w:color="000000" w:sz="12" w:space="1"/>
          <w:right w:val="nil"/>
          <w:between w:val="nil"/>
        </w:pBdr>
        <w:spacing w:after="0" w:line="240" w:lineRule="auto"/>
        <w:jc w:val="both"/>
        <w:rPr>
          <w:color w:val="000000"/>
        </w:rPr>
      </w:pPr>
      <w:hyperlink r:id="rId11">
        <w:r>
          <w:rPr>
            <w:color w:val="0000FF"/>
            <w:u w:val="single"/>
          </w:rPr>
          <w:t>www.enac.es</w:t>
        </w:r>
      </w:hyperlink>
      <w:r>
        <w:rPr>
          <w:color w:val="000000"/>
        </w:rPr>
        <w:t xml:space="preserve"> </w:t>
      </w:r>
    </w:p>
    <w:p w:rsidR="00F24E16" w:rsidRDefault="00F24E16" w14:paraId="3B0D7FFC" w14:textId="77777777">
      <w:pPr>
        <w:pBdr>
          <w:top w:val="nil"/>
          <w:left w:val="nil"/>
          <w:bottom w:val="single" w:color="000000" w:sz="12" w:space="1"/>
          <w:right w:val="nil"/>
          <w:between w:val="nil"/>
        </w:pBdr>
        <w:spacing w:after="0" w:line="240" w:lineRule="auto"/>
        <w:jc w:val="both"/>
        <w:rPr>
          <w:color w:val="000000"/>
        </w:rPr>
      </w:pPr>
    </w:p>
    <w:p w:rsidR="00F24E16" w:rsidRDefault="00F24E16" w14:paraId="3B0D7FFD" w14:textId="77777777">
      <w:pPr>
        <w:pBdr>
          <w:top w:val="nil"/>
          <w:left w:val="nil"/>
          <w:bottom w:val="single" w:color="000000" w:sz="12" w:space="1"/>
          <w:right w:val="nil"/>
          <w:between w:val="nil"/>
        </w:pBdr>
        <w:spacing w:after="0" w:line="240" w:lineRule="auto"/>
        <w:jc w:val="both"/>
        <w:rPr>
          <w:color w:val="000000"/>
        </w:rPr>
      </w:pPr>
    </w:p>
    <w:p w:rsidR="00F24E16" w:rsidRDefault="00F24E16" w14:paraId="3B0D7FFE" w14:textId="77777777">
      <w:pPr>
        <w:pBdr>
          <w:top w:val="nil"/>
          <w:left w:val="nil"/>
          <w:bottom w:val="single" w:color="000000" w:sz="12" w:space="1"/>
          <w:right w:val="nil"/>
          <w:between w:val="nil"/>
        </w:pBdr>
        <w:spacing w:after="0" w:line="240" w:lineRule="auto"/>
        <w:jc w:val="both"/>
        <w:rPr>
          <w:color w:val="000000"/>
        </w:rPr>
      </w:pPr>
    </w:p>
    <w:p w:rsidR="00F24E16" w:rsidRDefault="00F24E16" w14:paraId="3B0D7FFF" w14:textId="77777777">
      <w:pPr>
        <w:pBdr>
          <w:top w:val="nil"/>
          <w:left w:val="nil"/>
          <w:bottom w:val="nil"/>
          <w:right w:val="nil"/>
          <w:between w:val="nil"/>
        </w:pBdr>
        <w:spacing w:after="0" w:line="240" w:lineRule="auto"/>
        <w:jc w:val="both"/>
        <w:rPr>
          <w:color w:val="000000"/>
        </w:rPr>
      </w:pPr>
    </w:p>
    <w:p w:rsidR="00F24E16" w:rsidRDefault="000A5C41" w14:paraId="3B0D8000" w14:textId="77777777">
      <w:pPr>
        <w:pBdr>
          <w:top w:val="nil"/>
          <w:left w:val="nil"/>
          <w:bottom w:val="nil"/>
          <w:right w:val="nil"/>
          <w:between w:val="nil"/>
        </w:pBdr>
        <w:spacing w:after="0" w:line="240" w:lineRule="auto"/>
        <w:jc w:val="both"/>
        <w:rPr>
          <w:color w:val="000000"/>
        </w:rPr>
      </w:pPr>
      <w:r>
        <w:rPr>
          <w:color w:val="000000"/>
        </w:rPr>
        <w:t>Para más información sobre la nota de prensa, resolver dudas o gestionar entrevistas</w:t>
      </w:r>
    </w:p>
    <w:p w:rsidR="00F24E16" w:rsidRDefault="000A5C41" w14:paraId="3B0D8001" w14:textId="77777777">
      <w:pPr>
        <w:pBdr>
          <w:top w:val="nil"/>
          <w:left w:val="nil"/>
          <w:bottom w:val="nil"/>
          <w:right w:val="nil"/>
          <w:between w:val="nil"/>
        </w:pBdr>
        <w:spacing w:after="0" w:line="240" w:lineRule="auto"/>
        <w:jc w:val="both"/>
        <w:rPr>
          <w:color w:val="000000"/>
        </w:rPr>
      </w:pPr>
      <w:r>
        <w:rPr>
          <w:color w:val="000000"/>
        </w:rPr>
        <w:t>Eva Martín</w:t>
      </w:r>
    </w:p>
    <w:p w:rsidR="00F24E16" w:rsidRDefault="000A5C41" w14:paraId="3B0D8002" w14:textId="77777777">
      <w:pPr>
        <w:pBdr>
          <w:top w:val="nil"/>
          <w:left w:val="nil"/>
          <w:bottom w:val="nil"/>
          <w:right w:val="nil"/>
          <w:between w:val="nil"/>
        </w:pBdr>
        <w:spacing w:after="0" w:line="240" w:lineRule="auto"/>
        <w:jc w:val="both"/>
        <w:rPr>
          <w:color w:val="000000"/>
        </w:rPr>
      </w:pPr>
      <w:r>
        <w:rPr>
          <w:color w:val="000000"/>
        </w:rPr>
        <w:t xml:space="preserve">Tfno. 628 17 49 01 /  </w:t>
      </w:r>
      <w:hyperlink r:id="rId12">
        <w:r>
          <w:rPr>
            <w:color w:val="0000FF"/>
            <w:u w:val="single"/>
          </w:rPr>
          <w:t>evamc@varenga.es</w:t>
        </w:r>
      </w:hyperlink>
    </w:p>
    <w:sectPr w:rsidR="00F24E16">
      <w:headerReference w:type="default" r:id="rId13"/>
      <w:footerReference w:type="default" r:id="rId14"/>
      <w:pgSz w:w="11906" w:h="16838" w:orient="portrait"/>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5C41" w:rsidRDefault="000A5C41" w14:paraId="7533D89B" w14:textId="77777777">
      <w:pPr>
        <w:spacing w:after="0" w:line="240" w:lineRule="auto"/>
      </w:pPr>
      <w:r>
        <w:separator/>
      </w:r>
    </w:p>
  </w:endnote>
  <w:endnote w:type="continuationSeparator" w:id="0">
    <w:p w:rsidR="000A5C41" w:rsidRDefault="000A5C41" w14:paraId="4D00B2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4E16" w:rsidRDefault="000A5C41" w14:paraId="3B0D8004" w14:textId="4226E223">
    <w:pPr>
      <w:pBdr>
        <w:top w:val="nil"/>
        <w:left w:val="nil"/>
        <w:bottom w:val="nil"/>
        <w:right w:val="nil"/>
        <w:between w:val="nil"/>
      </w:pBdr>
      <w:tabs>
        <w:tab w:val="center" w:pos="4252"/>
        <w:tab w:val="right" w:pos="8504"/>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823C7">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5C41" w:rsidRDefault="000A5C41" w14:paraId="7384EA29" w14:textId="77777777">
      <w:pPr>
        <w:spacing w:after="0" w:line="240" w:lineRule="auto"/>
      </w:pPr>
      <w:r>
        <w:separator/>
      </w:r>
    </w:p>
  </w:footnote>
  <w:footnote w:type="continuationSeparator" w:id="0">
    <w:p w:rsidR="000A5C41" w:rsidRDefault="000A5C41" w14:paraId="2F819F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24E16" w:rsidRDefault="000A5C41" w14:paraId="3B0D8003" w14:textId="77777777">
    <w:pPr>
      <w:pBdr>
        <w:top w:val="nil"/>
        <w:left w:val="nil"/>
        <w:bottom w:val="nil"/>
        <w:right w:val="nil"/>
        <w:between w:val="nil"/>
      </w:pBdr>
      <w:tabs>
        <w:tab w:val="center" w:pos="4252"/>
        <w:tab w:val="right" w:pos="8504"/>
      </w:tabs>
      <w:spacing w:after="0" w:line="240" w:lineRule="auto"/>
      <w:rPr>
        <w:color w:val="000000"/>
        <w:sz w:val="40"/>
        <w:szCs w:val="40"/>
      </w:rPr>
    </w:pPr>
    <w:r>
      <w:rPr>
        <w:b/>
        <w:color w:val="000000"/>
        <w:sz w:val="40"/>
        <w:szCs w:val="40"/>
      </w:rPr>
      <w:t>NOTA DE PRENSA</w:t>
    </w:r>
    <w:r>
      <w:rPr>
        <w:noProof/>
      </w:rPr>
      <w:drawing>
        <wp:anchor distT="0" distB="0" distL="114300" distR="114300" simplePos="0" relativeHeight="251658240" behindDoc="0" locked="0" layoutInCell="1" hidden="0" allowOverlap="1" wp14:anchorId="3B0D8005" wp14:editId="3B0D8006">
          <wp:simplePos x="0" y="0"/>
          <wp:positionH relativeFrom="column">
            <wp:posOffset>4530090</wp:posOffset>
          </wp:positionH>
          <wp:positionV relativeFrom="paragraph">
            <wp:posOffset>-297178</wp:posOffset>
          </wp:positionV>
          <wp:extent cx="1324610" cy="7334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4610" cy="7334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78A3"/>
    <w:multiLevelType w:val="multilevel"/>
    <w:tmpl w:val="CC486B44"/>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16"/>
    <w:rsid w:val="000A5C41"/>
    <w:rsid w:val="001823C7"/>
    <w:rsid w:val="00F24E16"/>
    <w:rsid w:val="029DED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7FE1"/>
  <w15:docId w15:val="{987CA601-C604-4315-BF26-82E9420F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ipervnculo">
    <w:name w:val="Hyperlink"/>
    <w:basedOn w:val="Fuentedeprrafopredeter"/>
    <w:uiPriority w:val="99"/>
    <w:unhideWhenUsed/>
    <w:rsid w:val="001823C7"/>
    <w:rPr>
      <w:color w:val="0000FF" w:themeColor="hyperlink"/>
      <w:u w:val="single"/>
    </w:rPr>
  </w:style>
  <w:style w:type="character" w:styleId="Mencinsinresolver">
    <w:name w:val="Unresolved Mention"/>
    <w:basedOn w:val="Fuentedeprrafopredeter"/>
    <w:uiPriority w:val="99"/>
    <w:semiHidden/>
    <w:unhideWhenUsed/>
    <w:rsid w:val="00182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evamc@varenga.e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enac.e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eur-lex.europa.eu/legal-content/ES/TXT/PDF/?uri=CELEX:02019R0945-20200809&amp;from=EN" TargetMode="External" Id="R8866a8e481364b2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52DE15686E4843A3780C010A78B13A" ma:contentTypeVersion="11" ma:contentTypeDescription="Crear nuevo documento." ma:contentTypeScope="" ma:versionID="906025266fd8ce0a309ca94f74ba6fc7">
  <xsd:schema xmlns:xsd="http://www.w3.org/2001/XMLSchema" xmlns:xs="http://www.w3.org/2001/XMLSchema" xmlns:p="http://schemas.microsoft.com/office/2006/metadata/properties" xmlns:ns2="6e290ce1-b2e7-4ccb-948d-a290ef611fa1" xmlns:ns3="909e21e3-a2e2-47ca-be0e-9c3a9bef9292" targetNamespace="http://schemas.microsoft.com/office/2006/metadata/properties" ma:root="true" ma:fieldsID="c2347116cb2e92de548b02655a59adf4" ns2:_="" ns3:_="">
    <xsd:import namespace="6e290ce1-b2e7-4ccb-948d-a290ef611fa1"/>
    <xsd:import namespace="909e21e3-a2e2-47ca-be0e-9c3a9bef92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0ce1-b2e7-4ccb-948d-a290ef61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e21e3-a2e2-47ca-be0e-9c3a9bef9292"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E5C16-DAD5-4FB9-9A93-81A3A7999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0ce1-b2e7-4ccb-948d-a290ef611fa1"/>
    <ds:schemaRef ds:uri="909e21e3-a2e2-47ca-be0e-9c3a9bef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BC263-EB80-4A61-A846-CF7FD2A8DD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A9CBCA-3A34-44C2-AEE5-5F3DB4BAE5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Eva Martín</lastModifiedBy>
  <revision>3</revision>
  <dcterms:created xsi:type="dcterms:W3CDTF">2022-01-19T11:06:00.0000000Z</dcterms:created>
  <dcterms:modified xsi:type="dcterms:W3CDTF">2022-01-19T12:48:00.6018255Z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0x0101009152DE15686E4843A3780C010A78B13A</vt:lpwstr>
  </property>
</Properties>
</file>