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9C34" w14:textId="77777777" w:rsidR="007F67AF" w:rsidRDefault="007F67AF">
      <w:pPr>
        <w:jc w:val="center"/>
        <w:rPr>
          <w:rFonts w:ascii="Roboto" w:eastAsia="Roboto" w:hAnsi="Roboto" w:cs="Roboto"/>
          <w:b/>
          <w:sz w:val="30"/>
          <w:szCs w:val="30"/>
        </w:rPr>
      </w:pPr>
    </w:p>
    <w:p w14:paraId="2A519C35" w14:textId="77777777" w:rsidR="007F67AF" w:rsidRDefault="00EA1297">
      <w:pPr>
        <w:jc w:val="center"/>
        <w:rPr>
          <w:rFonts w:ascii="Roboto" w:eastAsia="Roboto" w:hAnsi="Roboto" w:cs="Roboto"/>
          <w:b/>
          <w:sz w:val="30"/>
          <w:szCs w:val="30"/>
        </w:rPr>
      </w:pPr>
      <w:r>
        <w:rPr>
          <w:rFonts w:ascii="Roboto" w:eastAsia="Roboto" w:hAnsi="Roboto" w:cs="Roboto"/>
          <w:b/>
          <w:sz w:val="30"/>
          <w:szCs w:val="30"/>
        </w:rPr>
        <w:t xml:space="preserve"> </w:t>
      </w:r>
    </w:p>
    <w:p w14:paraId="2A519C36" w14:textId="448B192D" w:rsidR="007F67AF" w:rsidRDefault="00EA1297" w:rsidP="166BA6C3">
      <w:pPr>
        <w:jc w:val="center"/>
        <w:rPr>
          <w:rFonts w:ascii="Roboto" w:eastAsia="Roboto" w:hAnsi="Roboto" w:cs="Roboto"/>
          <w:b/>
          <w:bCs/>
          <w:sz w:val="30"/>
          <w:szCs w:val="30"/>
        </w:rPr>
      </w:pPr>
      <w:r w:rsidRPr="166BA6C3">
        <w:rPr>
          <w:rFonts w:ascii="Roboto" w:eastAsia="Roboto" w:hAnsi="Roboto" w:cs="Roboto"/>
          <w:b/>
          <w:bCs/>
          <w:sz w:val="30"/>
          <w:szCs w:val="30"/>
        </w:rPr>
        <w:t>Primeros acreditados por ENAC en control de gases y en inspecciones de vertederos, según lo establecido en el RD 646/2020</w:t>
      </w:r>
    </w:p>
    <w:p w14:paraId="2A519C37" w14:textId="77777777" w:rsidR="007F67AF" w:rsidRDefault="00EA1297">
      <w:pPr>
        <w:shd w:val="clear" w:color="auto" w:fill="FFFFFF"/>
        <w:jc w:val="center"/>
        <w:rPr>
          <w:rFonts w:ascii="Roboto" w:eastAsia="Roboto" w:hAnsi="Roboto" w:cs="Roboto"/>
          <w:color w:val="D91D24"/>
        </w:rPr>
      </w:pPr>
      <w:r>
        <w:rPr>
          <w:rFonts w:ascii="Roboto" w:eastAsia="Roboto" w:hAnsi="Roboto" w:cs="Roboto"/>
          <w:b/>
          <w:color w:val="D91D24"/>
        </w:rPr>
        <w:t xml:space="preserve"> </w:t>
      </w:r>
      <w:r>
        <w:rPr>
          <w:rFonts w:ascii="Roboto" w:eastAsia="Roboto" w:hAnsi="Roboto" w:cs="Roboto"/>
          <w:color w:val="D91D24"/>
        </w:rPr>
        <w:t xml:space="preserve"> </w:t>
      </w:r>
    </w:p>
    <w:p w14:paraId="2A519C38" w14:textId="0305DEC8" w:rsidR="007F67AF" w:rsidRDefault="00EA1297">
      <w:pPr>
        <w:numPr>
          <w:ilvl w:val="0"/>
          <w:numId w:val="1"/>
        </w:numPr>
        <w:ind w:left="1080"/>
        <w:jc w:val="both"/>
        <w:rPr>
          <w:rFonts w:ascii="Roboto" w:eastAsia="Roboto" w:hAnsi="Roboto" w:cs="Roboto"/>
          <w:sz w:val="22"/>
          <w:szCs w:val="22"/>
        </w:rPr>
      </w:pPr>
      <w:r w:rsidRPr="166BA6C3">
        <w:rPr>
          <w:rFonts w:ascii="Roboto" w:eastAsia="Roboto" w:hAnsi="Roboto" w:cs="Roboto"/>
          <w:b/>
          <w:bCs/>
          <w:color w:val="222222"/>
          <w:sz w:val="22"/>
          <w:szCs w:val="22"/>
        </w:rPr>
        <w:t xml:space="preserve">La norma establece que las actividades de vigilancia, inspección y control de los vertederos deben llevarse a cabo por </w:t>
      </w:r>
      <w:r w:rsidRPr="166BA6C3">
        <w:rPr>
          <w:rFonts w:ascii="Roboto" w:eastAsia="Roboto" w:hAnsi="Roboto" w:cs="Roboto"/>
          <w:b/>
          <w:bCs/>
          <w:color w:val="222222"/>
          <w:sz w:val="22"/>
          <w:szCs w:val="22"/>
        </w:rPr>
        <w:t>entidades de inspección acreditadas</w:t>
      </w:r>
      <w:r w:rsidRPr="166BA6C3">
        <w:rPr>
          <w:rFonts w:ascii="Roboto" w:eastAsia="Roboto" w:hAnsi="Roboto" w:cs="Roboto"/>
          <w:b/>
          <w:bCs/>
          <w:sz w:val="22"/>
          <w:szCs w:val="22"/>
        </w:rPr>
        <w:t xml:space="preserve"> </w:t>
      </w:r>
    </w:p>
    <w:p w14:paraId="2A519C39" w14:textId="77777777" w:rsidR="007F67AF" w:rsidRDefault="00EA1297">
      <w:pPr>
        <w:shd w:val="clear" w:color="auto" w:fill="FFFFFF"/>
        <w:ind w:left="720"/>
        <w:jc w:val="both"/>
        <w:rPr>
          <w:rFonts w:ascii="Roboto" w:eastAsia="Roboto" w:hAnsi="Roboto" w:cs="Roboto"/>
          <w:color w:val="FF0000"/>
        </w:rPr>
      </w:pPr>
      <w:r>
        <w:rPr>
          <w:rFonts w:ascii="Roboto" w:eastAsia="Roboto" w:hAnsi="Roboto" w:cs="Roboto"/>
          <w:color w:val="FF0000"/>
        </w:rPr>
        <w:t xml:space="preserve"> </w:t>
      </w:r>
    </w:p>
    <w:p w14:paraId="2A519C3A" w14:textId="52F53E53" w:rsidR="007F67AF" w:rsidRDefault="00EA1297" w:rsidP="166BA6C3">
      <w:pPr>
        <w:shd w:val="clear" w:color="auto" w:fill="FFFFFF" w:themeFill="background1"/>
        <w:jc w:val="both"/>
        <w:rPr>
          <w:rFonts w:ascii="Roboto" w:eastAsia="Roboto" w:hAnsi="Roboto" w:cs="Roboto"/>
          <w:color w:val="333333"/>
          <w:sz w:val="22"/>
          <w:szCs w:val="22"/>
        </w:rPr>
      </w:pPr>
      <w:r w:rsidRPr="166BA6C3">
        <w:rPr>
          <w:rFonts w:ascii="Roboto" w:eastAsia="Roboto" w:hAnsi="Roboto" w:cs="Roboto"/>
          <w:sz w:val="22"/>
          <w:szCs w:val="22"/>
        </w:rPr>
        <w:t>Madrid, 19 de julio de 2</w:t>
      </w:r>
      <w:r w:rsidRPr="166BA6C3">
        <w:rPr>
          <w:rFonts w:ascii="Roboto" w:eastAsia="Roboto" w:hAnsi="Roboto" w:cs="Roboto"/>
          <w:color w:val="222222"/>
          <w:sz w:val="22"/>
          <w:szCs w:val="22"/>
        </w:rPr>
        <w:t>022</w:t>
      </w:r>
      <w:r w:rsidRPr="166BA6C3">
        <w:rPr>
          <w:rFonts w:ascii="Roboto" w:eastAsia="Roboto" w:hAnsi="Roboto" w:cs="Roboto"/>
          <w:sz w:val="22"/>
          <w:szCs w:val="22"/>
        </w:rPr>
        <w:t>.-</w:t>
      </w:r>
      <w:hyperlink r:id="rId10">
        <w:r w:rsidRPr="166BA6C3">
          <w:rPr>
            <w:rFonts w:ascii="Roboto" w:eastAsia="Roboto" w:hAnsi="Roboto" w:cs="Roboto"/>
            <w:color w:val="222222"/>
            <w:sz w:val="22"/>
            <w:szCs w:val="22"/>
          </w:rPr>
          <w:t xml:space="preserve"> </w:t>
        </w:r>
      </w:hyperlink>
      <w:r w:rsidRPr="166BA6C3">
        <w:rPr>
          <w:rFonts w:ascii="Roboto" w:eastAsia="Roboto" w:hAnsi="Roboto" w:cs="Roboto"/>
          <w:color w:val="222222"/>
          <w:sz w:val="22"/>
          <w:szCs w:val="22"/>
        </w:rPr>
        <w:t xml:space="preserve">La </w:t>
      </w:r>
      <w:r w:rsidR="166BA6C3">
        <w:t xml:space="preserve"> </w:t>
      </w:r>
      <w:hyperlink r:id="rId11" w:history="1">
        <w:r w:rsidR="166BA6C3" w:rsidRPr="166BA6C3">
          <w:rPr>
            <w:rStyle w:val="Hipervnculo"/>
            <w:rFonts w:ascii="Roboto" w:eastAsia="Roboto" w:hAnsi="Roboto" w:cs="Roboto"/>
            <w:b/>
            <w:bCs/>
            <w:sz w:val="22"/>
            <w:szCs w:val="22"/>
          </w:rPr>
          <w:t>Entidad Nacional de Acreditación</w:t>
        </w:r>
      </w:hyperlink>
      <w:r w:rsidRPr="166BA6C3">
        <w:rPr>
          <w:rFonts w:ascii="Roboto" w:eastAsia="Roboto" w:hAnsi="Roboto" w:cs="Roboto"/>
          <w:color w:val="222222"/>
          <w:sz w:val="22"/>
          <w:szCs w:val="22"/>
        </w:rPr>
        <w:t xml:space="preserve"> (ENAC) ha acreditado a</w:t>
      </w:r>
      <w:r w:rsidRPr="166BA6C3">
        <w:rPr>
          <w:rFonts w:ascii="Roboto" w:eastAsia="Roboto" w:hAnsi="Roboto" w:cs="Roboto"/>
          <w:color w:val="333333"/>
          <w:sz w:val="22"/>
          <w:szCs w:val="22"/>
        </w:rPr>
        <w:t xml:space="preserve"> </w:t>
      </w:r>
      <w:hyperlink r:id="rId12">
        <w:proofErr w:type="spellStart"/>
        <w:r w:rsidRPr="166BA6C3">
          <w:rPr>
            <w:rFonts w:ascii="Roboto" w:eastAsia="Roboto" w:hAnsi="Roboto" w:cs="Roboto"/>
            <w:color w:val="D91D24"/>
            <w:sz w:val="22"/>
            <w:szCs w:val="22"/>
            <w:u w:val="single"/>
          </w:rPr>
          <w:t>Labs</w:t>
        </w:r>
        <w:proofErr w:type="spellEnd"/>
        <w:r w:rsidRPr="166BA6C3">
          <w:rPr>
            <w:rFonts w:ascii="Roboto" w:eastAsia="Roboto" w:hAnsi="Roboto" w:cs="Roboto"/>
            <w:color w:val="D91D24"/>
            <w:sz w:val="22"/>
            <w:szCs w:val="22"/>
            <w:u w:val="single"/>
          </w:rPr>
          <w:t xml:space="preserve"> &amp; </w:t>
        </w:r>
        <w:proofErr w:type="spellStart"/>
        <w:r w:rsidRPr="166BA6C3">
          <w:rPr>
            <w:rFonts w:ascii="Roboto" w:eastAsia="Roboto" w:hAnsi="Roboto" w:cs="Roboto"/>
            <w:color w:val="D91D24"/>
            <w:sz w:val="22"/>
            <w:szCs w:val="22"/>
            <w:u w:val="single"/>
          </w:rPr>
          <w:t>Technological</w:t>
        </w:r>
        <w:proofErr w:type="spellEnd"/>
        <w:r w:rsidRPr="166BA6C3">
          <w:rPr>
            <w:rFonts w:ascii="Roboto" w:eastAsia="Roboto" w:hAnsi="Roboto" w:cs="Roboto"/>
            <w:color w:val="D91D24"/>
            <w:sz w:val="22"/>
            <w:szCs w:val="22"/>
            <w:u w:val="single"/>
          </w:rPr>
          <w:t xml:space="preserve"> </w:t>
        </w:r>
        <w:proofErr w:type="spellStart"/>
        <w:r w:rsidRPr="166BA6C3">
          <w:rPr>
            <w:rFonts w:ascii="Roboto" w:eastAsia="Roboto" w:hAnsi="Roboto" w:cs="Roboto"/>
            <w:color w:val="D91D24"/>
            <w:sz w:val="22"/>
            <w:szCs w:val="22"/>
            <w:u w:val="single"/>
          </w:rPr>
          <w:t>Services</w:t>
        </w:r>
        <w:proofErr w:type="spellEnd"/>
        <w:r w:rsidRPr="166BA6C3">
          <w:rPr>
            <w:rFonts w:ascii="Roboto" w:eastAsia="Roboto" w:hAnsi="Roboto" w:cs="Roboto"/>
            <w:color w:val="D91D24"/>
            <w:sz w:val="22"/>
            <w:szCs w:val="22"/>
            <w:u w:val="single"/>
          </w:rPr>
          <w:t xml:space="preserve"> AGQ</w:t>
        </w:r>
      </w:hyperlink>
      <w:r w:rsidRPr="166BA6C3">
        <w:rPr>
          <w:rFonts w:ascii="Roboto" w:eastAsia="Roboto" w:hAnsi="Roboto" w:cs="Roboto"/>
          <w:color w:val="333333"/>
          <w:sz w:val="22"/>
          <w:szCs w:val="22"/>
        </w:rPr>
        <w:t xml:space="preserve"> </w:t>
      </w:r>
      <w:r w:rsidRPr="166BA6C3">
        <w:rPr>
          <w:rFonts w:ascii="Roboto" w:eastAsia="Roboto" w:hAnsi="Roboto" w:cs="Roboto"/>
          <w:color w:val="222222"/>
          <w:sz w:val="22"/>
          <w:szCs w:val="22"/>
        </w:rPr>
        <w:t xml:space="preserve">y </w:t>
      </w:r>
      <w:hyperlink r:id="rId13">
        <w:r w:rsidRPr="166BA6C3">
          <w:rPr>
            <w:rFonts w:ascii="Roboto" w:eastAsia="Roboto" w:hAnsi="Roboto" w:cs="Roboto"/>
            <w:color w:val="D91D24"/>
            <w:sz w:val="22"/>
            <w:szCs w:val="22"/>
            <w:u w:val="single"/>
          </w:rPr>
          <w:t>Consultoría de Técnicas Ambientales</w:t>
        </w:r>
      </w:hyperlink>
      <w:r w:rsidRPr="166BA6C3">
        <w:rPr>
          <w:rFonts w:ascii="Roboto" w:eastAsia="Roboto" w:hAnsi="Roboto" w:cs="Roboto"/>
          <w:color w:val="333333"/>
          <w:sz w:val="22"/>
          <w:szCs w:val="22"/>
        </w:rPr>
        <w:t xml:space="preserve"> </w:t>
      </w:r>
      <w:r w:rsidRPr="166BA6C3">
        <w:rPr>
          <w:rFonts w:ascii="Roboto" w:eastAsia="Roboto" w:hAnsi="Roboto" w:cs="Roboto"/>
          <w:color w:val="222222"/>
          <w:sz w:val="22"/>
          <w:szCs w:val="22"/>
        </w:rPr>
        <w:t>para realizar el control de gases de vertederos, y a</w:t>
      </w:r>
      <w:r w:rsidRPr="166BA6C3">
        <w:rPr>
          <w:rFonts w:ascii="Roboto" w:eastAsia="Roboto" w:hAnsi="Roboto" w:cs="Roboto"/>
          <w:color w:val="333333"/>
          <w:sz w:val="22"/>
          <w:szCs w:val="22"/>
        </w:rPr>
        <w:t xml:space="preserve"> </w:t>
      </w:r>
      <w:hyperlink r:id="rId14">
        <w:proofErr w:type="spellStart"/>
        <w:r w:rsidRPr="166BA6C3">
          <w:rPr>
            <w:rFonts w:ascii="Roboto" w:eastAsia="Roboto" w:hAnsi="Roboto" w:cs="Roboto"/>
            <w:color w:val="D91D24"/>
            <w:sz w:val="22"/>
            <w:szCs w:val="22"/>
            <w:u w:val="single"/>
          </w:rPr>
          <w:t>Argano</w:t>
        </w:r>
        <w:proofErr w:type="spellEnd"/>
        <w:r w:rsidRPr="166BA6C3">
          <w:rPr>
            <w:rFonts w:ascii="Roboto" w:eastAsia="Roboto" w:hAnsi="Roboto" w:cs="Roboto"/>
            <w:color w:val="D91D24"/>
            <w:sz w:val="22"/>
            <w:szCs w:val="22"/>
            <w:u w:val="single"/>
          </w:rPr>
          <w:t xml:space="preserve"> </w:t>
        </w:r>
        <w:r w:rsidRPr="166BA6C3">
          <w:rPr>
            <w:rFonts w:ascii="Roboto" w:eastAsia="Roboto" w:hAnsi="Roboto" w:cs="Roboto"/>
            <w:color w:val="D91D24"/>
            <w:sz w:val="22"/>
            <w:szCs w:val="22"/>
            <w:u w:val="single"/>
          </w:rPr>
          <w:t>Asesores</w:t>
        </w:r>
      </w:hyperlink>
      <w:r w:rsidRPr="166BA6C3">
        <w:rPr>
          <w:rFonts w:ascii="Roboto" w:eastAsia="Roboto" w:hAnsi="Roboto" w:cs="Roboto"/>
          <w:color w:val="222222"/>
          <w:sz w:val="22"/>
          <w:szCs w:val="22"/>
        </w:rPr>
        <w:t xml:space="preserve"> y </w:t>
      </w:r>
      <w:proofErr w:type="spellStart"/>
      <w:r w:rsidRPr="166BA6C3">
        <w:rPr>
          <w:rFonts w:ascii="Roboto" w:eastAsia="Roboto" w:hAnsi="Roboto" w:cs="Roboto"/>
          <w:color w:val="222222"/>
          <w:sz w:val="22"/>
          <w:szCs w:val="22"/>
        </w:rPr>
        <w:t>Labs</w:t>
      </w:r>
      <w:proofErr w:type="spellEnd"/>
      <w:r w:rsidRPr="166BA6C3">
        <w:rPr>
          <w:rFonts w:ascii="Roboto" w:eastAsia="Roboto" w:hAnsi="Roboto" w:cs="Roboto"/>
          <w:color w:val="222222"/>
          <w:sz w:val="22"/>
          <w:szCs w:val="22"/>
        </w:rPr>
        <w:t xml:space="preserve"> &amp; </w:t>
      </w:r>
      <w:proofErr w:type="spellStart"/>
      <w:r w:rsidRPr="166BA6C3">
        <w:rPr>
          <w:rFonts w:ascii="Roboto" w:eastAsia="Roboto" w:hAnsi="Roboto" w:cs="Roboto"/>
          <w:color w:val="222222"/>
          <w:sz w:val="22"/>
          <w:szCs w:val="22"/>
        </w:rPr>
        <w:t>Technological</w:t>
      </w:r>
      <w:proofErr w:type="spellEnd"/>
      <w:r w:rsidRPr="166BA6C3">
        <w:rPr>
          <w:rFonts w:ascii="Roboto" w:eastAsia="Roboto" w:hAnsi="Roboto" w:cs="Roboto"/>
          <w:color w:val="222222"/>
          <w:sz w:val="22"/>
          <w:szCs w:val="22"/>
        </w:rPr>
        <w:t xml:space="preserve"> </w:t>
      </w:r>
      <w:proofErr w:type="spellStart"/>
      <w:r w:rsidRPr="166BA6C3">
        <w:rPr>
          <w:rFonts w:ascii="Roboto" w:eastAsia="Roboto" w:hAnsi="Roboto" w:cs="Roboto"/>
          <w:color w:val="222222"/>
          <w:sz w:val="22"/>
          <w:szCs w:val="22"/>
        </w:rPr>
        <w:t>Services</w:t>
      </w:r>
      <w:proofErr w:type="spellEnd"/>
      <w:r w:rsidRPr="166BA6C3">
        <w:rPr>
          <w:rFonts w:ascii="Roboto" w:eastAsia="Roboto" w:hAnsi="Roboto" w:cs="Roboto"/>
          <w:color w:val="222222"/>
          <w:sz w:val="22"/>
          <w:szCs w:val="22"/>
        </w:rPr>
        <w:t xml:space="preserve"> AGQ para realizar inspecciones en vertederos, según los criterios establecidos en los anexos III y VII del</w:t>
      </w:r>
      <w:r w:rsidRPr="166BA6C3">
        <w:rPr>
          <w:rFonts w:ascii="Roboto" w:eastAsia="Roboto" w:hAnsi="Roboto" w:cs="Roboto"/>
          <w:color w:val="333333"/>
          <w:sz w:val="22"/>
          <w:szCs w:val="22"/>
        </w:rPr>
        <w:t xml:space="preserve"> </w:t>
      </w:r>
      <w:hyperlink r:id="rId15">
        <w:r w:rsidRPr="166BA6C3">
          <w:rPr>
            <w:rFonts w:ascii="Roboto" w:eastAsia="Roboto" w:hAnsi="Roboto" w:cs="Roboto"/>
            <w:color w:val="D91D24"/>
            <w:sz w:val="22"/>
            <w:szCs w:val="22"/>
            <w:u w:val="single"/>
          </w:rPr>
          <w:t>Real Decreto 646/2020</w:t>
        </w:r>
      </w:hyperlink>
      <w:r w:rsidRPr="166BA6C3">
        <w:rPr>
          <w:rFonts w:ascii="Roboto" w:eastAsia="Roboto" w:hAnsi="Roboto" w:cs="Roboto"/>
          <w:color w:val="333333"/>
          <w:sz w:val="22"/>
          <w:szCs w:val="22"/>
        </w:rPr>
        <w:t xml:space="preserve">, </w:t>
      </w:r>
      <w:r w:rsidRPr="166BA6C3">
        <w:rPr>
          <w:rFonts w:ascii="Roboto" w:eastAsia="Roboto" w:hAnsi="Roboto" w:cs="Roboto"/>
          <w:color w:val="222222"/>
          <w:sz w:val="22"/>
          <w:szCs w:val="22"/>
        </w:rPr>
        <w:t>re</w:t>
      </w:r>
      <w:r w:rsidRPr="166BA6C3">
        <w:rPr>
          <w:rFonts w:ascii="Roboto" w:eastAsia="Roboto" w:hAnsi="Roboto" w:cs="Roboto"/>
          <w:color w:val="222222"/>
          <w:sz w:val="22"/>
          <w:szCs w:val="22"/>
        </w:rPr>
        <w:t>spectivamente</w:t>
      </w:r>
      <w:r w:rsidRPr="166BA6C3">
        <w:rPr>
          <w:rFonts w:ascii="Roboto" w:eastAsia="Roboto" w:hAnsi="Roboto" w:cs="Roboto"/>
          <w:color w:val="333333"/>
          <w:sz w:val="22"/>
          <w:szCs w:val="22"/>
        </w:rPr>
        <w:t>.</w:t>
      </w:r>
    </w:p>
    <w:p w14:paraId="2A519C3B" w14:textId="77777777" w:rsidR="007F67AF" w:rsidRDefault="007F67AF">
      <w:pPr>
        <w:shd w:val="clear" w:color="auto" w:fill="FFFFFF"/>
        <w:jc w:val="both"/>
        <w:rPr>
          <w:rFonts w:ascii="Roboto" w:eastAsia="Roboto" w:hAnsi="Roboto" w:cs="Roboto"/>
          <w:color w:val="333333"/>
          <w:sz w:val="21"/>
          <w:szCs w:val="21"/>
        </w:rPr>
      </w:pPr>
    </w:p>
    <w:p w14:paraId="2A519C3C" w14:textId="77777777" w:rsidR="007F67AF" w:rsidRDefault="00EA1297">
      <w:pPr>
        <w:shd w:val="clear" w:color="auto" w:fill="FFFFFF"/>
        <w:spacing w:after="160"/>
        <w:jc w:val="both"/>
        <w:rPr>
          <w:rFonts w:ascii="Roboto" w:eastAsia="Roboto" w:hAnsi="Roboto" w:cs="Roboto"/>
          <w:color w:val="222222"/>
          <w:sz w:val="22"/>
          <w:szCs w:val="22"/>
        </w:rPr>
      </w:pPr>
      <w:r>
        <w:rPr>
          <w:rFonts w:ascii="Roboto" w:eastAsia="Roboto" w:hAnsi="Roboto" w:cs="Roboto"/>
          <w:color w:val="222222"/>
          <w:sz w:val="22"/>
          <w:szCs w:val="22"/>
        </w:rPr>
        <w:t>El citado real decreto establece los requisitos destinados a garantizar una</w:t>
      </w:r>
      <w:r>
        <w:rPr>
          <w:rFonts w:ascii="Roboto" w:eastAsia="Roboto" w:hAnsi="Roboto" w:cs="Roboto"/>
          <w:b/>
          <w:color w:val="222222"/>
          <w:sz w:val="22"/>
          <w:szCs w:val="22"/>
        </w:rPr>
        <w:t xml:space="preserve"> adecuada eliminación de los residuos que son depositados en vertederos y regula las características de estos, así como su correcta gestión y explotación</w:t>
      </w:r>
      <w:r>
        <w:rPr>
          <w:rFonts w:ascii="Roboto" w:eastAsia="Roboto" w:hAnsi="Roboto" w:cs="Roboto"/>
          <w:color w:val="222222"/>
          <w:sz w:val="22"/>
          <w:szCs w:val="22"/>
        </w:rPr>
        <w:t>. Asimismo, establece que una serie de comprobaciones sobre los residuos, así como a</w:t>
      </w:r>
      <w:r>
        <w:rPr>
          <w:rFonts w:ascii="Roboto" w:eastAsia="Roboto" w:hAnsi="Roboto" w:cs="Roboto"/>
          <w:b/>
          <w:color w:val="222222"/>
          <w:sz w:val="22"/>
          <w:szCs w:val="22"/>
        </w:rPr>
        <w:t>ctividades de vigil</w:t>
      </w:r>
      <w:r>
        <w:rPr>
          <w:rFonts w:ascii="Roboto" w:eastAsia="Roboto" w:hAnsi="Roboto" w:cs="Roboto"/>
          <w:b/>
          <w:color w:val="222222"/>
          <w:sz w:val="22"/>
          <w:szCs w:val="22"/>
        </w:rPr>
        <w:t>ancia, inspección y control de los vertederos, deben llevarse a cabo por entidades de inspección acreditadas</w:t>
      </w:r>
      <w:r>
        <w:rPr>
          <w:rFonts w:ascii="Roboto" w:eastAsia="Roboto" w:hAnsi="Roboto" w:cs="Roboto"/>
          <w:color w:val="222222"/>
          <w:sz w:val="22"/>
          <w:szCs w:val="22"/>
        </w:rPr>
        <w:t xml:space="preserve"> conforme a la norma UNE-EN ISO/IEC 17020 por ENAC o por cualquier organismo nacional de acreditación de un Estado miembro de la UE.</w:t>
      </w:r>
    </w:p>
    <w:p w14:paraId="2A519C3D" w14:textId="77777777" w:rsidR="007F67AF" w:rsidRDefault="00EA1297">
      <w:pPr>
        <w:shd w:val="clear" w:color="auto" w:fill="FFFFFF"/>
        <w:spacing w:after="160"/>
        <w:jc w:val="both"/>
        <w:rPr>
          <w:rFonts w:ascii="Roboto" w:eastAsia="Roboto" w:hAnsi="Roboto" w:cs="Roboto"/>
          <w:color w:val="222222"/>
          <w:sz w:val="22"/>
          <w:szCs w:val="22"/>
        </w:rPr>
      </w:pPr>
      <w:proofErr w:type="gramStart"/>
      <w:r>
        <w:rPr>
          <w:rFonts w:ascii="Roboto" w:eastAsia="Roboto" w:hAnsi="Roboto" w:cs="Roboto"/>
          <w:color w:val="222222"/>
          <w:sz w:val="22"/>
          <w:szCs w:val="22"/>
        </w:rPr>
        <w:t>Las actividades</w:t>
      </w:r>
      <w:r>
        <w:rPr>
          <w:rFonts w:ascii="Roboto" w:eastAsia="Roboto" w:hAnsi="Roboto" w:cs="Roboto"/>
          <w:color w:val="222222"/>
          <w:sz w:val="22"/>
          <w:szCs w:val="22"/>
        </w:rPr>
        <w:t xml:space="preserve"> a ejecutar</w:t>
      </w:r>
      <w:proofErr w:type="gramEnd"/>
      <w:r>
        <w:rPr>
          <w:rFonts w:ascii="Roboto" w:eastAsia="Roboto" w:hAnsi="Roboto" w:cs="Roboto"/>
          <w:color w:val="222222"/>
          <w:sz w:val="22"/>
          <w:szCs w:val="22"/>
        </w:rPr>
        <w:t xml:space="preserve"> por estas entidades son las siguientes:</w:t>
      </w:r>
    </w:p>
    <w:p w14:paraId="2A519C3E" w14:textId="77777777" w:rsidR="007F67AF" w:rsidRDefault="00EA1297">
      <w:pPr>
        <w:numPr>
          <w:ilvl w:val="0"/>
          <w:numId w:val="2"/>
        </w:numPr>
        <w:jc w:val="both"/>
        <w:rPr>
          <w:sz w:val="19"/>
          <w:szCs w:val="19"/>
        </w:rPr>
      </w:pPr>
      <w:r>
        <w:rPr>
          <w:rFonts w:ascii="Roboto" w:eastAsia="Roboto" w:hAnsi="Roboto" w:cs="Roboto"/>
          <w:b/>
          <w:sz w:val="22"/>
          <w:szCs w:val="22"/>
        </w:rPr>
        <w:t>Comprobación del cumplimiento de los criterios de admisión en vertedero</w:t>
      </w:r>
      <w:r>
        <w:rPr>
          <w:rFonts w:ascii="Roboto" w:eastAsia="Roboto" w:hAnsi="Roboto" w:cs="Roboto"/>
          <w:sz w:val="22"/>
          <w:szCs w:val="22"/>
        </w:rPr>
        <w:t xml:space="preserve"> de acuerdo con el anexo II del RD 646/2020 (caracterización básica y pruebas de cumplimiento de residuos).</w:t>
      </w:r>
    </w:p>
    <w:p w14:paraId="2A519C3F" w14:textId="77777777" w:rsidR="007F67AF" w:rsidRDefault="00EA1297">
      <w:pPr>
        <w:numPr>
          <w:ilvl w:val="0"/>
          <w:numId w:val="2"/>
        </w:numPr>
        <w:jc w:val="both"/>
        <w:rPr>
          <w:sz w:val="19"/>
          <w:szCs w:val="19"/>
        </w:rPr>
      </w:pPr>
      <w:r>
        <w:rPr>
          <w:rFonts w:ascii="Roboto" w:eastAsia="Roboto" w:hAnsi="Roboto" w:cs="Roboto"/>
          <w:b/>
          <w:sz w:val="22"/>
          <w:szCs w:val="22"/>
        </w:rPr>
        <w:t>Control y vigilancia en l</w:t>
      </w:r>
      <w:r>
        <w:rPr>
          <w:rFonts w:ascii="Roboto" w:eastAsia="Roboto" w:hAnsi="Roboto" w:cs="Roboto"/>
          <w:b/>
          <w:sz w:val="22"/>
          <w:szCs w:val="22"/>
        </w:rPr>
        <w:t>as fases de explotación y de mantenimiento</w:t>
      </w:r>
      <w:r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sz w:val="22"/>
          <w:szCs w:val="22"/>
        </w:rPr>
        <w:t xml:space="preserve">posterior </w:t>
      </w:r>
      <w:r>
        <w:rPr>
          <w:rFonts w:ascii="Roboto" w:eastAsia="Roboto" w:hAnsi="Roboto" w:cs="Roboto"/>
          <w:sz w:val="22"/>
          <w:szCs w:val="22"/>
        </w:rPr>
        <w:t>del vertedero (Anexo III del RD 646/2020) en los siguientes ámbitos: aguas superficiales, aguas subterráneas, lixiviados y gases</w:t>
      </w:r>
    </w:p>
    <w:p w14:paraId="2A519C40" w14:textId="77777777" w:rsidR="007F67AF" w:rsidRDefault="00EA1297">
      <w:pPr>
        <w:numPr>
          <w:ilvl w:val="0"/>
          <w:numId w:val="2"/>
        </w:numPr>
        <w:jc w:val="both"/>
        <w:rPr>
          <w:sz w:val="19"/>
          <w:szCs w:val="19"/>
        </w:rPr>
      </w:pPr>
      <w:r>
        <w:rPr>
          <w:rFonts w:ascii="Roboto" w:eastAsia="Roboto" w:hAnsi="Roboto" w:cs="Roboto"/>
          <w:b/>
          <w:sz w:val="22"/>
          <w:szCs w:val="22"/>
        </w:rPr>
        <w:t>Inspección de vertedero</w:t>
      </w:r>
      <w:r>
        <w:rPr>
          <w:rFonts w:ascii="Roboto" w:eastAsia="Roboto" w:hAnsi="Roboto" w:cs="Roboto"/>
          <w:sz w:val="22"/>
          <w:szCs w:val="22"/>
        </w:rPr>
        <w:t>s (Anexo VII del RD 646/2020) que podrán ser llevad</w:t>
      </w:r>
      <w:r>
        <w:rPr>
          <w:rFonts w:ascii="Roboto" w:eastAsia="Roboto" w:hAnsi="Roboto" w:cs="Roboto"/>
          <w:sz w:val="22"/>
          <w:szCs w:val="22"/>
        </w:rPr>
        <w:t>as a cabo por entidades colaboradoras. Con respecto a esta actividad, las autoridades competentes tendrán las funciones de vigilancia, inspección y control del correcto cumplimiento de lo previsto en el RD 646/2020. Estas funciones, de acuerdo con el citad</w:t>
      </w:r>
      <w:r>
        <w:rPr>
          <w:rFonts w:ascii="Roboto" w:eastAsia="Roboto" w:hAnsi="Roboto" w:cs="Roboto"/>
          <w:sz w:val="22"/>
          <w:szCs w:val="22"/>
        </w:rPr>
        <w:t>o Real Decreto y con la Ley 7/2022, podrán ser llevadas a cabo con el apoyo de entidades colaboradoras debidamente reconocidas conforme a la norma UNE-EN ISO/IEC 17020, sin que ello suponga la sustitución de la administración en el ejercicio completo de su</w:t>
      </w:r>
      <w:r>
        <w:rPr>
          <w:rFonts w:ascii="Roboto" w:eastAsia="Roboto" w:hAnsi="Roboto" w:cs="Roboto"/>
          <w:sz w:val="22"/>
          <w:szCs w:val="22"/>
        </w:rPr>
        <w:t>s funciones.</w:t>
      </w:r>
    </w:p>
    <w:p w14:paraId="2A519C41" w14:textId="77777777" w:rsidR="007F67AF" w:rsidRDefault="007F67AF">
      <w:pPr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14:paraId="5E09E6FA" w14:textId="35BB10D3" w:rsidR="001B4C14" w:rsidRDefault="001B4C14" w:rsidP="166BA6C3">
      <w:pPr>
        <w:shd w:val="clear" w:color="auto" w:fill="FFFFFF" w:themeFill="background1"/>
        <w:spacing w:after="160"/>
        <w:jc w:val="both"/>
        <w:rPr>
          <w:rFonts w:ascii="Roboto" w:eastAsia="Roboto" w:hAnsi="Roboto" w:cs="Roboto"/>
          <w:color w:val="222222"/>
          <w:sz w:val="22"/>
          <w:szCs w:val="22"/>
        </w:rPr>
      </w:pPr>
      <w:r w:rsidRPr="166BA6C3">
        <w:rPr>
          <w:rFonts w:ascii="Roboto" w:eastAsia="Roboto" w:hAnsi="Roboto" w:cs="Roboto"/>
          <w:color w:val="222222"/>
          <w:sz w:val="22"/>
          <w:szCs w:val="22"/>
        </w:rPr>
        <w:t>ENAC</w:t>
      </w:r>
      <w:r w:rsidR="00B6383F" w:rsidRPr="166BA6C3">
        <w:rPr>
          <w:rFonts w:ascii="Roboto" w:eastAsia="Roboto" w:hAnsi="Roboto" w:cs="Roboto"/>
          <w:color w:val="222222"/>
          <w:sz w:val="22"/>
          <w:szCs w:val="22"/>
        </w:rPr>
        <w:t xml:space="preserve"> </w:t>
      </w:r>
      <w:r w:rsidRPr="166BA6C3">
        <w:rPr>
          <w:rFonts w:ascii="Roboto" w:eastAsia="Roboto" w:hAnsi="Roboto" w:cs="Roboto"/>
          <w:color w:val="222222"/>
          <w:sz w:val="22"/>
          <w:szCs w:val="22"/>
        </w:rPr>
        <w:t>ha desarrollado</w:t>
      </w:r>
      <w:r w:rsidR="00B6383F" w:rsidRPr="166BA6C3">
        <w:rPr>
          <w:rFonts w:ascii="Roboto" w:eastAsia="Roboto" w:hAnsi="Roboto" w:cs="Roboto"/>
          <w:color w:val="222222"/>
          <w:sz w:val="22"/>
          <w:szCs w:val="22"/>
        </w:rPr>
        <w:t xml:space="preserve"> </w:t>
      </w:r>
      <w:r w:rsidRPr="166BA6C3">
        <w:rPr>
          <w:rFonts w:ascii="Roboto" w:eastAsia="Roboto" w:hAnsi="Roboto" w:cs="Roboto"/>
          <w:color w:val="222222"/>
          <w:sz w:val="22"/>
          <w:szCs w:val="22"/>
        </w:rPr>
        <w:t xml:space="preserve">esquemas de acreditación para demostrar la competencia técnica de estas entidades de inspección, y ha modificado los anexos técnicos para incluir los ámbitos de actuación correspondientes. </w:t>
      </w:r>
    </w:p>
    <w:p w14:paraId="639E5D08" w14:textId="77777777" w:rsidR="001B4C14" w:rsidRDefault="001B4C14" w:rsidP="166BA6C3">
      <w:pPr>
        <w:shd w:val="clear" w:color="auto" w:fill="FFFFFF" w:themeFill="background1"/>
        <w:spacing w:after="160"/>
        <w:jc w:val="both"/>
        <w:rPr>
          <w:rFonts w:ascii="Roboto" w:eastAsia="Roboto" w:hAnsi="Roboto" w:cs="Roboto"/>
          <w:color w:val="222222"/>
          <w:sz w:val="22"/>
          <w:szCs w:val="22"/>
        </w:rPr>
      </w:pPr>
    </w:p>
    <w:p w14:paraId="7514D7D1" w14:textId="77777777" w:rsidR="001B4C14" w:rsidRDefault="001B4C14" w:rsidP="166BA6C3">
      <w:pPr>
        <w:shd w:val="clear" w:color="auto" w:fill="FFFFFF" w:themeFill="background1"/>
        <w:spacing w:after="160"/>
        <w:jc w:val="both"/>
        <w:rPr>
          <w:rFonts w:ascii="Roboto" w:eastAsia="Roboto" w:hAnsi="Roboto" w:cs="Roboto"/>
          <w:color w:val="222222"/>
          <w:sz w:val="22"/>
          <w:szCs w:val="22"/>
        </w:rPr>
      </w:pPr>
    </w:p>
    <w:p w14:paraId="332C5ECC" w14:textId="77777777" w:rsidR="00891AFE" w:rsidRDefault="00891AFE">
      <w:pPr>
        <w:shd w:val="clear" w:color="auto" w:fill="FFFFFF"/>
        <w:spacing w:after="160"/>
        <w:jc w:val="both"/>
        <w:rPr>
          <w:rFonts w:ascii="Roboto" w:eastAsia="Roboto" w:hAnsi="Roboto" w:cs="Roboto"/>
          <w:b/>
          <w:color w:val="222222"/>
          <w:sz w:val="22"/>
          <w:szCs w:val="22"/>
        </w:rPr>
      </w:pPr>
    </w:p>
    <w:p w14:paraId="2A519C43" w14:textId="69887639" w:rsidR="007F67AF" w:rsidRDefault="00EA1297">
      <w:pPr>
        <w:shd w:val="clear" w:color="auto" w:fill="FFFFFF"/>
        <w:spacing w:after="160"/>
        <w:jc w:val="both"/>
        <w:rPr>
          <w:rFonts w:ascii="Roboto" w:eastAsia="Roboto" w:hAnsi="Roboto" w:cs="Roboto"/>
          <w:b/>
          <w:color w:val="222222"/>
          <w:sz w:val="22"/>
          <w:szCs w:val="22"/>
        </w:rPr>
      </w:pPr>
      <w:r>
        <w:rPr>
          <w:rFonts w:ascii="Roboto" w:eastAsia="Roboto" w:hAnsi="Roboto" w:cs="Roboto"/>
          <w:b/>
          <w:color w:val="222222"/>
          <w:sz w:val="22"/>
          <w:szCs w:val="22"/>
        </w:rPr>
        <w:t xml:space="preserve">La acreditación de ENAC, un apoyo a la </w:t>
      </w:r>
      <w:r>
        <w:rPr>
          <w:rFonts w:ascii="Roboto" w:eastAsia="Roboto" w:hAnsi="Roboto" w:cs="Roboto"/>
          <w:b/>
          <w:color w:val="222222"/>
          <w:sz w:val="22"/>
          <w:szCs w:val="22"/>
        </w:rPr>
        <w:t>Administración en gestión de residuos</w:t>
      </w:r>
    </w:p>
    <w:p w14:paraId="2A519C44" w14:textId="77777777" w:rsidR="007F67AF" w:rsidRDefault="00EA1297">
      <w:pPr>
        <w:shd w:val="clear" w:color="auto" w:fill="FFFFFF"/>
        <w:spacing w:after="160"/>
        <w:jc w:val="both"/>
        <w:rPr>
          <w:rFonts w:ascii="Roboto" w:eastAsia="Roboto" w:hAnsi="Roboto" w:cs="Roboto"/>
          <w:color w:val="222222"/>
          <w:sz w:val="22"/>
          <w:szCs w:val="22"/>
        </w:rPr>
      </w:pPr>
      <w:r>
        <w:rPr>
          <w:rFonts w:ascii="Roboto" w:eastAsia="Roboto" w:hAnsi="Roboto" w:cs="Roboto"/>
          <w:color w:val="222222"/>
          <w:sz w:val="22"/>
          <w:szCs w:val="22"/>
        </w:rPr>
        <w:t>Uno de los objetivos prioritarios de la actual legislación europea en materia de residuos es garantizar la protección de la salud humana y del medioambiente, exigiendo a los Estados miembros la adopción de medidas espe</w:t>
      </w:r>
      <w:r>
        <w:rPr>
          <w:rFonts w:ascii="Roboto" w:eastAsia="Roboto" w:hAnsi="Roboto" w:cs="Roboto"/>
          <w:color w:val="222222"/>
          <w:sz w:val="22"/>
          <w:szCs w:val="22"/>
        </w:rPr>
        <w:t>cíficas para priorizar la prevención, preparación para la reutilización, el reciclado y la valorización energética, frente al depósito en vertedero y la incineración. Sin embargo, aunque el depósito en vertederos es una de las opciones de gestión de residu</w:t>
      </w:r>
      <w:r>
        <w:rPr>
          <w:rFonts w:ascii="Roboto" w:eastAsia="Roboto" w:hAnsi="Roboto" w:cs="Roboto"/>
          <w:color w:val="222222"/>
          <w:sz w:val="22"/>
          <w:szCs w:val="22"/>
        </w:rPr>
        <w:t>os menos deseable, resulta imprescindible para la gestión controlada de muchos de los residuos que generamos hoy en día.</w:t>
      </w:r>
    </w:p>
    <w:p w14:paraId="2A519C45" w14:textId="77777777" w:rsidR="007F67AF" w:rsidRDefault="00EA1297">
      <w:pPr>
        <w:shd w:val="clear" w:color="auto" w:fill="FFFFFF"/>
        <w:spacing w:after="160"/>
        <w:jc w:val="both"/>
        <w:rPr>
          <w:rFonts w:ascii="Roboto" w:eastAsia="Roboto" w:hAnsi="Roboto" w:cs="Roboto"/>
          <w:color w:val="222222"/>
          <w:sz w:val="22"/>
          <w:szCs w:val="22"/>
        </w:rPr>
      </w:pPr>
      <w:r>
        <w:rPr>
          <w:rFonts w:ascii="Roboto" w:eastAsia="Roboto" w:hAnsi="Roboto" w:cs="Roboto"/>
          <w:color w:val="222222"/>
          <w:sz w:val="22"/>
          <w:szCs w:val="22"/>
        </w:rPr>
        <w:t>En el plano nacional, por medio del mencionado RD 646/2020, la Administración Pública demuestra una vez más su confianza en la acredita</w:t>
      </w:r>
      <w:r>
        <w:rPr>
          <w:rFonts w:ascii="Roboto" w:eastAsia="Roboto" w:hAnsi="Roboto" w:cs="Roboto"/>
          <w:color w:val="222222"/>
          <w:sz w:val="22"/>
          <w:szCs w:val="22"/>
        </w:rPr>
        <w:t>ción de ENAC como una herramienta de apoyo para alcanzar sus objetivos en materia de políticas públicas, en este caso, en materia de gestión de residuos y protección ambiental.</w:t>
      </w:r>
    </w:p>
    <w:p w14:paraId="2A519C46" w14:textId="77777777" w:rsidR="007F67AF" w:rsidRDefault="007F67AF">
      <w:pPr>
        <w:shd w:val="clear" w:color="auto" w:fill="FFFFFF"/>
        <w:jc w:val="both"/>
        <w:rPr>
          <w:rFonts w:ascii="Roboto" w:eastAsia="Roboto" w:hAnsi="Roboto" w:cs="Roboto"/>
          <w:color w:val="222222"/>
          <w:sz w:val="22"/>
          <w:szCs w:val="22"/>
        </w:rPr>
      </w:pPr>
    </w:p>
    <w:p w14:paraId="2A519C47" w14:textId="77777777" w:rsidR="007F67AF" w:rsidRDefault="007F67AF">
      <w:pPr>
        <w:shd w:val="clear" w:color="auto" w:fill="FFFFFF"/>
        <w:jc w:val="both"/>
        <w:rPr>
          <w:rFonts w:ascii="Roboto" w:eastAsia="Roboto" w:hAnsi="Roboto" w:cs="Roboto"/>
          <w:color w:val="D91D24"/>
          <w:sz w:val="22"/>
          <w:szCs w:val="22"/>
          <w:u w:val="single"/>
        </w:rPr>
      </w:pPr>
    </w:p>
    <w:p w14:paraId="2A519C4F" w14:textId="5608F7C2" w:rsidR="007F67AF" w:rsidRDefault="00EA1297" w:rsidP="166BA6C3">
      <w:pPr>
        <w:shd w:val="clear" w:color="auto" w:fill="FFFFFF" w:themeFill="background1"/>
        <w:jc w:val="both"/>
        <w:rPr>
          <w:rFonts w:ascii="Roboto" w:eastAsia="Roboto" w:hAnsi="Roboto" w:cs="Roboto"/>
          <w:color w:val="E83544"/>
          <w:sz w:val="22"/>
          <w:szCs w:val="22"/>
        </w:rPr>
      </w:pPr>
      <w:r w:rsidRPr="166BA6C3">
        <w:rPr>
          <w:rFonts w:ascii="Roboto" w:eastAsia="Roboto" w:hAnsi="Roboto" w:cs="Roboto"/>
          <w:b/>
          <w:bCs/>
          <w:color w:val="E83544"/>
          <w:sz w:val="22"/>
          <w:szCs w:val="22"/>
        </w:rPr>
        <w:t>Sobre ENAC</w:t>
      </w:r>
      <w:r w:rsidRPr="166BA6C3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2A519C50" w14:textId="77777777" w:rsidR="007F67AF" w:rsidRDefault="007F67AF" w:rsidP="166BA6C3">
      <w:pPr>
        <w:shd w:val="clear" w:color="auto" w:fill="FFFFFF" w:themeFill="background1"/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2A519C51" w14:textId="77777777" w:rsidR="007F67AF" w:rsidRDefault="00EA1297" w:rsidP="166BA6C3">
      <w:pPr>
        <w:shd w:val="clear" w:color="auto" w:fill="FFFFFF" w:themeFill="background1"/>
        <w:jc w:val="both"/>
        <w:rPr>
          <w:rFonts w:ascii="Roboto" w:eastAsia="Roboto" w:hAnsi="Roboto" w:cs="Roboto"/>
          <w:sz w:val="22"/>
          <w:szCs w:val="22"/>
        </w:rPr>
      </w:pPr>
      <w:commentRangeStart w:id="0"/>
      <w:r w:rsidRPr="166BA6C3">
        <w:rPr>
          <w:rFonts w:ascii="Roboto" w:eastAsia="Roboto" w:hAnsi="Roboto" w:cs="Roboto"/>
          <w:sz w:val="22"/>
          <w:szCs w:val="22"/>
        </w:rPr>
        <w:t>La Entidad Nacional de Acreditación – ENAC – es la entidad desig</w:t>
      </w:r>
      <w:r w:rsidRPr="166BA6C3">
        <w:rPr>
          <w:rFonts w:ascii="Roboto" w:eastAsia="Roboto" w:hAnsi="Roboto" w:cs="Roboto"/>
          <w:sz w:val="22"/>
          <w:szCs w:val="22"/>
        </w:rPr>
        <w:t xml:space="preserve">nada por el Gobierno para operar en España como el único Organismo Nacional de Acreditación, en aplicación del Reglamento (CE) nº765/2008 del Parlamento Europeo que regula el funcionamiento de la acreditación en Europa. </w:t>
      </w:r>
    </w:p>
    <w:p w14:paraId="2A519C52" w14:textId="77777777" w:rsidR="007F67AF" w:rsidRDefault="007F67AF" w:rsidP="166BA6C3">
      <w:pPr>
        <w:shd w:val="clear" w:color="auto" w:fill="FFFFFF" w:themeFill="background1"/>
        <w:jc w:val="both"/>
        <w:rPr>
          <w:rFonts w:ascii="Roboto" w:eastAsia="Roboto" w:hAnsi="Roboto" w:cs="Roboto"/>
          <w:sz w:val="22"/>
          <w:szCs w:val="22"/>
        </w:rPr>
      </w:pPr>
    </w:p>
    <w:p w14:paraId="2A519C53" w14:textId="77777777" w:rsidR="007F67AF" w:rsidRDefault="00EA1297" w:rsidP="166BA6C3">
      <w:pPr>
        <w:shd w:val="clear" w:color="auto" w:fill="FFFFFF" w:themeFill="background1"/>
        <w:jc w:val="both"/>
        <w:rPr>
          <w:rFonts w:ascii="Roboto" w:eastAsia="Roboto" w:hAnsi="Roboto" w:cs="Roboto"/>
          <w:sz w:val="22"/>
          <w:szCs w:val="22"/>
        </w:rPr>
      </w:pPr>
      <w:r w:rsidRPr="166BA6C3"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</w:t>
      </w:r>
      <w:r w:rsidRPr="166BA6C3">
        <w:rPr>
          <w:rFonts w:ascii="Roboto" w:eastAsia="Roboto" w:hAnsi="Roboto" w:cs="Roboto"/>
          <w:sz w:val="22"/>
          <w:szCs w:val="22"/>
        </w:rPr>
        <w:t xml:space="preserve"> y verificadores medioambientales que desarrollen su actividad en cualquier sector: industria,  energía, medio ambiente, sanidad, alimentación, investigación, desarrollo e innovación, transportes, telecomunicaciones, turismo, servicios, construcción, etc. </w:t>
      </w:r>
      <w:r w:rsidRPr="166BA6C3">
        <w:rPr>
          <w:rFonts w:ascii="Roboto" w:eastAsia="Roboto" w:hAnsi="Roboto" w:cs="Roboto"/>
          <w:sz w:val="22"/>
          <w:szCs w:val="22"/>
        </w:rPr>
        <w:t>Contribuye, así, a la seguridad y el bienestar de las personas, la calidad de los productos y servicios, la protección del medioambiente y, con ello, al aumento de la competitividad de los productos y servicios españoles y a una disminución de los costes p</w:t>
      </w:r>
      <w:r w:rsidRPr="166BA6C3">
        <w:rPr>
          <w:rFonts w:ascii="Roboto" w:eastAsia="Roboto" w:hAnsi="Roboto" w:cs="Roboto"/>
          <w:sz w:val="22"/>
          <w:szCs w:val="22"/>
        </w:rPr>
        <w:t xml:space="preserve">ara la sociedad debidos a estas actividades.  </w:t>
      </w:r>
    </w:p>
    <w:p w14:paraId="2A519C54" w14:textId="77777777" w:rsidR="007F67AF" w:rsidRDefault="00EA1297" w:rsidP="166BA6C3">
      <w:pPr>
        <w:shd w:val="clear" w:color="auto" w:fill="FFFFFF" w:themeFill="background1"/>
        <w:jc w:val="both"/>
        <w:rPr>
          <w:rFonts w:ascii="Roboto" w:eastAsia="Roboto" w:hAnsi="Roboto" w:cs="Roboto"/>
          <w:sz w:val="22"/>
          <w:szCs w:val="22"/>
        </w:rPr>
      </w:pPr>
      <w:r w:rsidRPr="166BA6C3">
        <w:rPr>
          <w:rFonts w:ascii="Roboto" w:eastAsia="Roboto" w:hAnsi="Roboto" w:cs="Roboto"/>
          <w:sz w:val="22"/>
          <w:szCs w:val="22"/>
        </w:rPr>
        <w:t xml:space="preserve">  </w:t>
      </w:r>
    </w:p>
    <w:p w14:paraId="2A519C55" w14:textId="77777777" w:rsidR="007F67AF" w:rsidRDefault="00EA1297" w:rsidP="166BA6C3">
      <w:pPr>
        <w:shd w:val="clear" w:color="auto" w:fill="FFFFFF" w:themeFill="background1"/>
        <w:jc w:val="both"/>
        <w:rPr>
          <w:rFonts w:ascii="Roboto" w:eastAsia="Roboto" w:hAnsi="Roboto" w:cs="Roboto"/>
          <w:sz w:val="22"/>
          <w:szCs w:val="22"/>
        </w:rPr>
      </w:pPr>
      <w:r w:rsidRPr="166BA6C3"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</w:t>
      </w:r>
      <w:r w:rsidRPr="166BA6C3">
        <w:rPr>
          <w:rFonts w:ascii="Roboto" w:eastAsia="Roboto" w:hAnsi="Roboto" w:cs="Roboto"/>
          <w:sz w:val="22"/>
          <w:szCs w:val="22"/>
        </w:rPr>
        <w:t xml:space="preserve">za, y lo es tanto en España como en los 100 países en los que la marca de ENAC es reconocida y aceptada gracias a los acuerdos de reconocimiento que ENAC ha suscrito con las entidades de acreditación de esos países. </w:t>
      </w:r>
      <w:commentRangeEnd w:id="0"/>
      <w:r>
        <w:commentReference w:id="0"/>
      </w:r>
    </w:p>
    <w:p w14:paraId="2A519C56" w14:textId="77777777" w:rsidR="007F67AF" w:rsidRDefault="007F67AF">
      <w:pPr>
        <w:jc w:val="both"/>
        <w:rPr>
          <w:rFonts w:ascii="Roboto" w:eastAsia="Roboto" w:hAnsi="Roboto" w:cs="Roboto"/>
          <w:sz w:val="22"/>
          <w:szCs w:val="22"/>
        </w:rPr>
      </w:pPr>
    </w:p>
    <w:p w14:paraId="2A519C57" w14:textId="77777777" w:rsidR="007F67AF" w:rsidRDefault="00EA1297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20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2A519C58" w14:textId="77777777" w:rsidR="007F67AF" w:rsidRDefault="007F67AF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2A519C59" w14:textId="77777777" w:rsidR="007F67AF" w:rsidRDefault="00EA1297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2A519C5F" wp14:editId="2A519C60">
            <wp:extent cx="304800" cy="304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2A519C61" wp14:editId="2A519C62">
            <wp:extent cx="304800" cy="304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519C5A" w14:textId="77777777" w:rsidR="007F67AF" w:rsidRDefault="007F67AF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2A519C5B" w14:textId="77777777" w:rsidR="007F67AF" w:rsidRDefault="007F67AF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2A519C5C" w14:textId="77777777" w:rsidR="007F67AF" w:rsidRDefault="00EA129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2A519C5D" w14:textId="77777777" w:rsidR="007F67AF" w:rsidRDefault="00EA129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2A519C5E" w14:textId="77777777" w:rsidR="007F67AF" w:rsidRDefault="00EA1297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23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</w:p>
    <w:sectPr w:rsidR="007F67AF">
      <w:headerReference w:type="default" r:id="rId24"/>
      <w:footerReference w:type="default" r:id="rId2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enise Diaz Pozo" w:date="2022-07-15T10:46:00Z" w:initials="DDP">
    <w:p w14:paraId="63EA326F" w14:textId="77777777" w:rsidR="001B4C14" w:rsidRDefault="001B4C14" w:rsidP="00BF3EFB">
      <w:pPr>
        <w:pStyle w:val="Textocomentario"/>
      </w:pPr>
      <w:r>
        <w:rPr>
          <w:rStyle w:val="Refdecomentario"/>
        </w:rPr>
        <w:annotationRef/>
      </w:r>
      <w:r>
        <w:t>No sé por qué no me deja unificar el tipo de letra, puedes hacerlo tú, please, Eva?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EA326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BC420" w16cex:dateUtc="2022-07-15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EA326F" w16cid:durableId="267BC4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3034" w14:textId="77777777" w:rsidR="00DB08AB" w:rsidRDefault="00DB08AB">
      <w:r>
        <w:separator/>
      </w:r>
    </w:p>
  </w:endnote>
  <w:endnote w:type="continuationSeparator" w:id="0">
    <w:p w14:paraId="24CF39B9" w14:textId="77777777" w:rsidR="00DB08AB" w:rsidRDefault="00D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9C66" w14:textId="09E2C674" w:rsidR="007F67AF" w:rsidRDefault="00EA12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2152">
      <w:rPr>
        <w:noProof/>
        <w:color w:val="000000"/>
      </w:rPr>
      <w:t>1</w:t>
    </w:r>
    <w:r>
      <w:rPr>
        <w:color w:val="000000"/>
      </w:rPr>
      <w:fldChar w:fldCharType="end"/>
    </w:r>
  </w:p>
  <w:p w14:paraId="2A519C67" w14:textId="77777777" w:rsidR="007F67AF" w:rsidRDefault="007F67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6013" w14:textId="77777777" w:rsidR="00DB08AB" w:rsidRDefault="00DB08AB">
      <w:r>
        <w:separator/>
      </w:r>
    </w:p>
  </w:footnote>
  <w:footnote w:type="continuationSeparator" w:id="0">
    <w:p w14:paraId="07AB104D" w14:textId="77777777" w:rsidR="00DB08AB" w:rsidRDefault="00DB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9C63" w14:textId="77777777" w:rsidR="007F67AF" w:rsidRDefault="00EA1297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A519C68" wp14:editId="2A519C69">
          <wp:simplePos x="0" y="0"/>
          <wp:positionH relativeFrom="column">
            <wp:posOffset>4114800</wp:posOffset>
          </wp:positionH>
          <wp:positionV relativeFrom="paragraph">
            <wp:posOffset>-304792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519C64" w14:textId="77777777" w:rsidR="007F67AF" w:rsidRDefault="00EA1297">
    <w:pPr>
      <w:ind w:left="-120"/>
      <w:jc w:val="both"/>
      <w:rPr>
        <w:rFonts w:ascii="Nunito" w:eastAsia="Nunito" w:hAnsi="Nunito" w:cs="Nunito"/>
        <w:sz w:val="22"/>
        <w:szCs w:val="22"/>
      </w:rPr>
    </w:pPr>
    <w:r>
      <w:rPr>
        <w:rFonts w:ascii="Nunito" w:eastAsia="Nunito" w:hAnsi="Nunito" w:cs="Nunito"/>
        <w:b/>
        <w:sz w:val="40"/>
        <w:szCs w:val="40"/>
      </w:rPr>
      <w:t>NOTA DE PRENSA</w:t>
    </w:r>
    <w:r>
      <w:rPr>
        <w:rFonts w:ascii="Nunito" w:eastAsia="Nunito" w:hAnsi="Nunito" w:cs="Nunito"/>
        <w:sz w:val="22"/>
        <w:szCs w:val="22"/>
      </w:rPr>
      <w:t xml:space="preserve"> </w:t>
    </w:r>
  </w:p>
  <w:p w14:paraId="2A519C65" w14:textId="77777777" w:rsidR="007F67AF" w:rsidRDefault="007F67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C75"/>
    <w:multiLevelType w:val="multilevel"/>
    <w:tmpl w:val="10783EE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E25EA4"/>
    <w:multiLevelType w:val="multilevel"/>
    <w:tmpl w:val="EA9C265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7773764">
    <w:abstractNumId w:val="1"/>
  </w:num>
  <w:num w:numId="2" w16cid:durableId="16610337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ise Diaz Pozo">
    <w15:presenceInfo w15:providerId="AD" w15:userId="S::dediaz@enac.es::eacd275e-9d47-449d-aba3-bb8267828d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AF"/>
    <w:rsid w:val="000E2152"/>
    <w:rsid w:val="001B4C14"/>
    <w:rsid w:val="006C0EDA"/>
    <w:rsid w:val="007F67AF"/>
    <w:rsid w:val="00891AFE"/>
    <w:rsid w:val="00B6383F"/>
    <w:rsid w:val="00DB08AB"/>
    <w:rsid w:val="00EA1297"/>
    <w:rsid w:val="14377034"/>
    <w:rsid w:val="166BA6C3"/>
    <w:rsid w:val="60A3FF48"/>
    <w:rsid w:val="70A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9C34"/>
  <w15:docId w15:val="{8FC3BBAB-3805-4979-93F2-6959213F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0E2152"/>
  </w:style>
  <w:style w:type="character" w:styleId="Refdecomentario">
    <w:name w:val="annotation reference"/>
    <w:basedOn w:val="Fuentedeprrafopredeter"/>
    <w:uiPriority w:val="99"/>
    <w:semiHidden/>
    <w:unhideWhenUsed/>
    <w:rsid w:val="001B4C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4C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4C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4C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4C1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ta-r.com/" TargetMode="External"/><Relationship Id="rId18" Type="http://schemas.microsoft.com/office/2016/09/relationships/commentsIds" Target="commentsId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webSettings" Target="webSettings.xml"/><Relationship Id="rId12" Type="http://schemas.openxmlformats.org/officeDocument/2006/relationships/hyperlink" Target="http://www.agq.com.es/" TargetMode="External"/><Relationship Id="rId17" Type="http://schemas.microsoft.com/office/2011/relationships/commentsExtended" Target="commentsExtended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yperlink" Target="http://www.enac.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ac.es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boe.es/boe/dias/2020/07/08/pdfs/BOE-A-2020-7438.pdf" TargetMode="External"/><Relationship Id="rId23" Type="http://schemas.openxmlformats.org/officeDocument/2006/relationships/hyperlink" Target="mailto:evamc@varenga.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pplus.com/global/es/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rgano.es/" TargetMode="External"/><Relationship Id="rId22" Type="http://schemas.openxmlformats.org/officeDocument/2006/relationships/image" Target="media/image2.png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583E4CA5-4FBA-43A7-8FBA-D0992CB97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10760-976D-4960-BF31-880E274E2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BC23A-E1E6-465A-9A31-EB9489283D91}">
  <ds:schemaRefs>
    <ds:schemaRef ds:uri="http://purl.org/dc/elements/1.1/"/>
    <ds:schemaRef ds:uri="909e21e3-a2e2-47ca-be0e-9c3a9bef929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e290ce1-b2e7-4ccb-948d-a290ef611fa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Diaz Pozo</dc:creator>
  <cp:lastModifiedBy>Denise Diaz Pozo</cp:lastModifiedBy>
  <cp:revision>2</cp:revision>
  <dcterms:created xsi:type="dcterms:W3CDTF">2022-08-02T08:43:00Z</dcterms:created>
  <dcterms:modified xsi:type="dcterms:W3CDTF">2022-08-02T08:43:00Z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