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5D69" w14:textId="77777777" w:rsidR="007815C3" w:rsidRDefault="007815C3">
      <w:pPr>
        <w:jc w:val="both"/>
        <w:rPr>
          <w:rFonts w:ascii="Roboto" w:eastAsia="Roboto" w:hAnsi="Roboto" w:cs="Roboto"/>
          <w:b/>
          <w:sz w:val="32"/>
          <w:szCs w:val="32"/>
        </w:rPr>
      </w:pPr>
    </w:p>
    <w:p w14:paraId="3BBB5D6A" w14:textId="77777777" w:rsidR="007815C3" w:rsidRDefault="006F3C7F">
      <w:pPr>
        <w:jc w:val="center"/>
        <w:rPr>
          <w:rFonts w:ascii="Roboto" w:eastAsia="Roboto" w:hAnsi="Roboto" w:cs="Roboto"/>
          <w:b/>
          <w:sz w:val="34"/>
          <w:szCs w:val="34"/>
        </w:rPr>
      </w:pPr>
      <w:r>
        <w:rPr>
          <w:rFonts w:ascii="Roboto" w:eastAsia="Roboto" w:hAnsi="Roboto" w:cs="Roboto"/>
          <w:b/>
          <w:sz w:val="36"/>
          <w:szCs w:val="36"/>
        </w:rPr>
        <w:t xml:space="preserve">Primeras acreditaciones de ENAC para evaluar la accesibilidad de páginas web y </w:t>
      </w:r>
      <w:proofErr w:type="gramStart"/>
      <w:r>
        <w:rPr>
          <w:rFonts w:ascii="Roboto" w:eastAsia="Roboto" w:hAnsi="Roboto" w:cs="Roboto"/>
          <w:b/>
          <w:sz w:val="36"/>
          <w:szCs w:val="36"/>
        </w:rPr>
        <w:t>apps</w:t>
      </w:r>
      <w:proofErr w:type="gramEnd"/>
      <w:r>
        <w:rPr>
          <w:rFonts w:ascii="Roboto" w:eastAsia="Roboto" w:hAnsi="Roboto" w:cs="Roboto"/>
          <w:b/>
          <w:sz w:val="36"/>
          <w:szCs w:val="36"/>
        </w:rPr>
        <w:t xml:space="preserve"> </w:t>
      </w:r>
    </w:p>
    <w:p w14:paraId="3BBB5D6B" w14:textId="77777777" w:rsidR="007815C3" w:rsidRDefault="006F3C7F">
      <w:pPr>
        <w:shd w:val="clear" w:color="auto" w:fill="FFFFFF"/>
        <w:jc w:val="both"/>
        <w:rPr>
          <w:rFonts w:ascii="Roboto" w:eastAsia="Roboto" w:hAnsi="Roboto" w:cs="Roboto"/>
          <w:b/>
          <w:sz w:val="20"/>
          <w:szCs w:val="20"/>
        </w:rPr>
      </w:pPr>
      <w:r>
        <w:rPr>
          <w:rFonts w:ascii="Roboto" w:eastAsia="Roboto" w:hAnsi="Roboto" w:cs="Roboto"/>
          <w:b/>
          <w:sz w:val="20"/>
          <w:szCs w:val="20"/>
        </w:rPr>
        <w:t xml:space="preserve">  </w:t>
      </w:r>
    </w:p>
    <w:p w14:paraId="3BBB5D6C" w14:textId="77777777" w:rsidR="007815C3" w:rsidRDefault="007815C3">
      <w:pPr>
        <w:ind w:left="720"/>
        <w:rPr>
          <w:rFonts w:ascii="Roboto" w:eastAsia="Roboto" w:hAnsi="Roboto" w:cs="Roboto"/>
          <w:b/>
          <w:sz w:val="20"/>
          <w:szCs w:val="20"/>
        </w:rPr>
      </w:pPr>
    </w:p>
    <w:p w14:paraId="3BBB5D6D" w14:textId="77777777" w:rsidR="007815C3" w:rsidRDefault="006F3C7F">
      <w:pPr>
        <w:numPr>
          <w:ilvl w:val="0"/>
          <w:numId w:val="1"/>
        </w:numPr>
        <w:jc w:val="both"/>
        <w:rPr>
          <w:rFonts w:ascii="Roboto" w:eastAsia="Roboto" w:hAnsi="Roboto" w:cs="Roboto"/>
          <w:b/>
          <w:sz w:val="22"/>
          <w:szCs w:val="22"/>
        </w:rPr>
      </w:pPr>
      <w:r>
        <w:rPr>
          <w:rFonts w:ascii="Roboto" w:eastAsia="Roboto" w:hAnsi="Roboto" w:cs="Roboto"/>
          <w:b/>
          <w:sz w:val="22"/>
          <w:szCs w:val="22"/>
        </w:rPr>
        <w:t xml:space="preserve">Las entidades obligadas por el RD 1112/2018 ya pueden solicitar la revisión de accesibilidad de páginas web y </w:t>
      </w:r>
      <w:proofErr w:type="gramStart"/>
      <w:r>
        <w:rPr>
          <w:rFonts w:ascii="Roboto" w:eastAsia="Roboto" w:hAnsi="Roboto" w:cs="Roboto"/>
          <w:b/>
          <w:sz w:val="22"/>
          <w:szCs w:val="22"/>
        </w:rPr>
        <w:t>apps</w:t>
      </w:r>
      <w:proofErr w:type="gramEnd"/>
      <w:r>
        <w:rPr>
          <w:rFonts w:ascii="Roboto" w:eastAsia="Roboto" w:hAnsi="Roboto" w:cs="Roboto"/>
          <w:b/>
          <w:sz w:val="22"/>
          <w:szCs w:val="22"/>
        </w:rPr>
        <w:t xml:space="preserve"> a entidades acreditadas por ENAC</w:t>
      </w:r>
    </w:p>
    <w:p w14:paraId="3BBB5D6E" w14:textId="77777777" w:rsidR="007815C3" w:rsidRDefault="007815C3">
      <w:pPr>
        <w:ind w:left="720"/>
        <w:jc w:val="both"/>
        <w:rPr>
          <w:rFonts w:ascii="Roboto" w:eastAsia="Roboto" w:hAnsi="Roboto" w:cs="Roboto"/>
          <w:b/>
          <w:sz w:val="22"/>
          <w:szCs w:val="22"/>
        </w:rPr>
      </w:pPr>
    </w:p>
    <w:p w14:paraId="3BBB5D70" w14:textId="2073C40B" w:rsidR="007815C3" w:rsidRDefault="006F3C7F" w:rsidP="44E83659">
      <w:pPr>
        <w:shd w:val="clear" w:color="auto" w:fill="FFFFFF" w:themeFill="background1"/>
        <w:spacing w:after="160"/>
        <w:ind w:left="720"/>
        <w:jc w:val="both"/>
        <w:rPr>
          <w:rFonts w:ascii="Roboto" w:eastAsia="Roboto" w:hAnsi="Roboto" w:cs="Roboto"/>
          <w:sz w:val="22"/>
          <w:szCs w:val="22"/>
        </w:rPr>
      </w:pPr>
      <w:r w:rsidRPr="44E83659">
        <w:rPr>
          <w:rFonts w:ascii="Roboto" w:eastAsia="Roboto" w:hAnsi="Roboto" w:cs="Roboto"/>
          <w:sz w:val="22"/>
          <w:szCs w:val="22"/>
        </w:rPr>
        <w:t xml:space="preserve"> </w:t>
      </w:r>
    </w:p>
    <w:p w14:paraId="3BBB5D71" w14:textId="107AC553" w:rsidR="007815C3" w:rsidRDefault="006F3C7F" w:rsidP="44E83659">
      <w:pPr>
        <w:shd w:val="clear" w:color="auto" w:fill="FFFFFF" w:themeFill="background1"/>
        <w:jc w:val="both"/>
        <w:rPr>
          <w:rFonts w:ascii="Roboto" w:eastAsia="Roboto" w:hAnsi="Roboto" w:cs="Roboto"/>
          <w:sz w:val="22"/>
          <w:szCs w:val="22"/>
        </w:rPr>
      </w:pPr>
      <w:r w:rsidRPr="44E83659">
        <w:rPr>
          <w:rFonts w:ascii="Roboto" w:eastAsia="Roboto" w:hAnsi="Roboto" w:cs="Roboto"/>
          <w:sz w:val="22"/>
          <w:szCs w:val="22"/>
        </w:rPr>
        <w:t>Madrid, 2</w:t>
      </w:r>
      <w:r w:rsidR="0379695D" w:rsidRPr="44E83659">
        <w:rPr>
          <w:rFonts w:ascii="Roboto" w:eastAsia="Roboto" w:hAnsi="Roboto" w:cs="Roboto"/>
          <w:sz w:val="22"/>
          <w:szCs w:val="22"/>
        </w:rPr>
        <w:t>5</w:t>
      </w:r>
      <w:r w:rsidRPr="44E83659">
        <w:rPr>
          <w:rFonts w:ascii="Roboto" w:eastAsia="Roboto" w:hAnsi="Roboto" w:cs="Roboto"/>
          <w:sz w:val="22"/>
          <w:szCs w:val="22"/>
        </w:rPr>
        <w:t xml:space="preserve"> de mayo de 2023 - La </w:t>
      </w:r>
      <w:hyperlink r:id="rId10" w:history="1">
        <w:r w:rsidRPr="44E83659">
          <w:rPr>
            <w:rFonts w:ascii="Roboto" w:eastAsia="Roboto" w:hAnsi="Roboto" w:cs="Roboto"/>
            <w:sz w:val="22"/>
            <w:szCs w:val="22"/>
          </w:rPr>
          <w:t>Entidad Nacional de Acreditación</w:t>
        </w:r>
      </w:hyperlink>
      <w:r w:rsidRPr="44E83659">
        <w:rPr>
          <w:rFonts w:ascii="Roboto" w:eastAsia="Roboto" w:hAnsi="Roboto" w:cs="Roboto"/>
          <w:sz w:val="22"/>
          <w:szCs w:val="22"/>
        </w:rPr>
        <w:t xml:space="preserve"> (ENAC) ha concedido a Métodos y Tecnología de Sistemas y Procesos (MTP) y a </w:t>
      </w:r>
      <w:proofErr w:type="spellStart"/>
      <w:r w:rsidRPr="44E83659">
        <w:rPr>
          <w:rFonts w:ascii="Roboto" w:eastAsia="Roboto" w:hAnsi="Roboto" w:cs="Roboto"/>
          <w:sz w:val="22"/>
          <w:szCs w:val="22"/>
        </w:rPr>
        <w:t>TOTHOMweb</w:t>
      </w:r>
      <w:proofErr w:type="spellEnd"/>
      <w:r w:rsidRPr="44E83659">
        <w:rPr>
          <w:rFonts w:ascii="Roboto" w:eastAsia="Roboto" w:hAnsi="Roboto" w:cs="Roboto"/>
          <w:sz w:val="22"/>
          <w:szCs w:val="22"/>
        </w:rPr>
        <w:t xml:space="preserve"> las primeras acreditaciones para la evaluación de la accesibilidad de páginas web y app, en el marco de</w:t>
      </w:r>
      <w:r w:rsidR="00F97312" w:rsidRPr="44E83659">
        <w:rPr>
          <w:rFonts w:ascii="Roboto" w:eastAsia="Roboto" w:hAnsi="Roboto" w:cs="Roboto"/>
          <w:sz w:val="22"/>
          <w:szCs w:val="22"/>
        </w:rPr>
        <w:t xml:space="preserve"> lo establecido en e</w:t>
      </w:r>
      <w:r w:rsidRPr="44E83659">
        <w:rPr>
          <w:rFonts w:ascii="Roboto" w:eastAsia="Roboto" w:hAnsi="Roboto" w:cs="Roboto"/>
          <w:sz w:val="22"/>
          <w:szCs w:val="22"/>
        </w:rPr>
        <w:t xml:space="preserve">l </w:t>
      </w:r>
      <w:hyperlink r:id="rId11" w:history="1">
        <w:r w:rsidRPr="44E83659">
          <w:rPr>
            <w:rFonts w:ascii="Roboto" w:eastAsia="Roboto" w:hAnsi="Roboto" w:cs="Roboto"/>
            <w:sz w:val="22"/>
            <w:szCs w:val="22"/>
          </w:rPr>
          <w:t>Real Decreto 1112/2018</w:t>
        </w:r>
      </w:hyperlink>
      <w:r w:rsidRPr="44E83659">
        <w:rPr>
          <w:rFonts w:ascii="Roboto" w:eastAsia="Roboto" w:hAnsi="Roboto" w:cs="Roboto"/>
          <w:sz w:val="22"/>
          <w:szCs w:val="22"/>
        </w:rPr>
        <w:t xml:space="preserve"> sobre accesibilidad de los sitios web y aplicaciones para dispositivos móviles del sector público. Además, </w:t>
      </w:r>
      <w:proofErr w:type="spellStart"/>
      <w:r w:rsidRPr="44E83659">
        <w:rPr>
          <w:rFonts w:ascii="Roboto" w:eastAsia="Roboto" w:hAnsi="Roboto" w:cs="Roboto"/>
          <w:sz w:val="22"/>
          <w:szCs w:val="22"/>
        </w:rPr>
        <w:t>TOTHOMweb</w:t>
      </w:r>
      <w:proofErr w:type="spellEnd"/>
      <w:r w:rsidRPr="44E83659">
        <w:rPr>
          <w:rFonts w:ascii="Roboto" w:eastAsia="Roboto" w:hAnsi="Roboto" w:cs="Roboto"/>
          <w:sz w:val="22"/>
          <w:szCs w:val="22"/>
        </w:rPr>
        <w:t xml:space="preserve"> ha recibido la acreditación ENAC en el ámbito de las aplicaciones para dispositivos móviles. </w:t>
      </w:r>
    </w:p>
    <w:p w14:paraId="3BBB5D72" w14:textId="77777777" w:rsidR="007815C3" w:rsidRDefault="007815C3" w:rsidP="44E83659">
      <w:pPr>
        <w:shd w:val="clear" w:color="auto" w:fill="FFFFFF" w:themeFill="background1"/>
        <w:jc w:val="both"/>
        <w:rPr>
          <w:rFonts w:ascii="Roboto" w:eastAsia="Roboto" w:hAnsi="Roboto" w:cs="Roboto"/>
          <w:sz w:val="22"/>
          <w:szCs w:val="22"/>
        </w:rPr>
      </w:pPr>
    </w:p>
    <w:p w14:paraId="3BBB5D73" w14:textId="22A822C9" w:rsidR="007815C3" w:rsidRDefault="006F3C7F" w:rsidP="44E83659">
      <w:pPr>
        <w:shd w:val="clear" w:color="auto" w:fill="FFFFFF" w:themeFill="background1"/>
        <w:jc w:val="both"/>
        <w:rPr>
          <w:rFonts w:ascii="Roboto" w:eastAsia="Roboto" w:hAnsi="Roboto" w:cs="Roboto"/>
          <w:sz w:val="22"/>
          <w:szCs w:val="22"/>
        </w:rPr>
      </w:pPr>
      <w:r w:rsidRPr="44E83659">
        <w:rPr>
          <w:rFonts w:ascii="Roboto" w:eastAsia="Roboto" w:hAnsi="Roboto" w:cs="Roboto"/>
          <w:sz w:val="22"/>
          <w:szCs w:val="22"/>
        </w:rPr>
        <w:t xml:space="preserve">El Real Decreto 1112/2018 requiere que todos los sitios web y aplicaciones móviles de la Administración Pública o que reciban financiación pública cumplan unos requisitos mínimos de accesibilidad y exige a las entidades obligadas que lleven a cabo revisiones del cumplimiento de los requisitos de accesibilidad, tanto en la fase de diseño, construcción, mantenimiento y en las actualizaciones. No obstante, el propio Real Decreto da la posibilidad a las </w:t>
      </w:r>
      <w:r w:rsidRPr="44E83659">
        <w:rPr>
          <w:rFonts w:ascii="Roboto" w:eastAsia="Roboto" w:hAnsi="Roboto" w:cs="Roboto"/>
          <w:b/>
          <w:bCs/>
          <w:sz w:val="22"/>
          <w:szCs w:val="22"/>
        </w:rPr>
        <w:t>entidades obligadas a que dicha revisión pueda ser realizada también por una entidad externa que esté acreditada por ENAC</w:t>
      </w:r>
      <w:r w:rsidRPr="44E83659">
        <w:rPr>
          <w:rFonts w:ascii="Roboto" w:eastAsia="Roboto" w:hAnsi="Roboto" w:cs="Roboto"/>
          <w:sz w:val="22"/>
          <w:szCs w:val="22"/>
        </w:rPr>
        <w:t>.</w:t>
      </w:r>
      <w:r w:rsidR="00C9242D" w:rsidRPr="44E83659">
        <w:rPr>
          <w:rFonts w:ascii="Roboto" w:eastAsia="Roboto" w:hAnsi="Roboto" w:cs="Roboto"/>
          <w:sz w:val="22"/>
          <w:szCs w:val="22"/>
        </w:rPr>
        <w:t xml:space="preserve"> </w:t>
      </w:r>
      <w:r w:rsidR="00B97C0A" w:rsidRPr="44E83659">
        <w:rPr>
          <w:rFonts w:ascii="Roboto" w:eastAsia="Roboto" w:hAnsi="Roboto" w:cs="Roboto"/>
          <w:sz w:val="22"/>
          <w:szCs w:val="22"/>
        </w:rPr>
        <w:t xml:space="preserve">Con estas dos primeras acreditaciones, </w:t>
      </w:r>
      <w:r w:rsidR="00C9242D" w:rsidRPr="44E83659">
        <w:rPr>
          <w:rFonts w:ascii="Roboto" w:eastAsia="Roboto" w:hAnsi="Roboto" w:cs="Roboto"/>
          <w:sz w:val="22"/>
          <w:szCs w:val="22"/>
        </w:rPr>
        <w:t>las entidades obligadas pueden ya</w:t>
      </w:r>
      <w:r w:rsidR="0078589F" w:rsidRPr="44E83659">
        <w:rPr>
          <w:rFonts w:ascii="Roboto" w:eastAsia="Roboto" w:hAnsi="Roboto" w:cs="Roboto"/>
          <w:sz w:val="22"/>
          <w:szCs w:val="22"/>
        </w:rPr>
        <w:t xml:space="preserve"> </w:t>
      </w:r>
      <w:r w:rsidR="00C9242D" w:rsidRPr="44E83659">
        <w:rPr>
          <w:rFonts w:ascii="Roboto" w:eastAsia="Roboto" w:hAnsi="Roboto" w:cs="Roboto"/>
          <w:sz w:val="22"/>
          <w:szCs w:val="22"/>
        </w:rPr>
        <w:t>acogerse a dicha posibilidad y encargar sus revisiones a entidades acreditadas por ENAC.</w:t>
      </w:r>
    </w:p>
    <w:p w14:paraId="3BBB5D74" w14:textId="77777777" w:rsidR="007815C3" w:rsidRDefault="007815C3">
      <w:pPr>
        <w:shd w:val="clear" w:color="auto" w:fill="FFFFFF"/>
        <w:jc w:val="both"/>
        <w:rPr>
          <w:rFonts w:ascii="Roboto" w:eastAsia="Roboto" w:hAnsi="Roboto" w:cs="Roboto"/>
          <w:sz w:val="22"/>
          <w:szCs w:val="22"/>
        </w:rPr>
      </w:pPr>
    </w:p>
    <w:p w14:paraId="583B2978" w14:textId="017479B7" w:rsidR="00374ED1" w:rsidRDefault="00374ED1" w:rsidP="44E83659">
      <w:pPr>
        <w:jc w:val="both"/>
        <w:rPr>
          <w:rFonts w:ascii="Roboto" w:eastAsia="Roboto" w:hAnsi="Roboto" w:cs="Roboto"/>
          <w:sz w:val="22"/>
          <w:szCs w:val="22"/>
        </w:rPr>
      </w:pPr>
      <w:r w:rsidRPr="44E83659">
        <w:rPr>
          <w:rFonts w:ascii="Roboto" w:eastAsia="Roboto" w:hAnsi="Roboto" w:cs="Roboto"/>
          <w:sz w:val="22"/>
          <w:szCs w:val="22"/>
        </w:rPr>
        <w:t xml:space="preserve">Esta acreditación es un ejemplo del apoyo técnico y la colaboración de ENAC con las administraciones públicas, ya que el </w:t>
      </w:r>
      <w:hyperlink r:id="rId12">
        <w:r w:rsidRPr="44E83659">
          <w:rPr>
            <w:rFonts w:ascii="Roboto" w:eastAsia="Roboto" w:hAnsi="Roboto" w:cs="Roboto"/>
            <w:color w:val="1155CC"/>
            <w:sz w:val="22"/>
            <w:szCs w:val="22"/>
            <w:u w:val="single"/>
          </w:rPr>
          <w:t>documento que establece los criterios y proceso de acreditación específico para este tipo de acreditación</w:t>
        </w:r>
      </w:hyperlink>
      <w:r w:rsidRPr="44E83659">
        <w:rPr>
          <w:rFonts w:ascii="Roboto" w:eastAsia="Roboto" w:hAnsi="Roboto" w:cs="Roboto"/>
          <w:sz w:val="22"/>
          <w:szCs w:val="22"/>
        </w:rPr>
        <w:t xml:space="preserve"> ha sido elaborado con la colaboración del Ministerio de Asuntos Económicos y Transformación Digital (MAETD), que es el órgano encargado de realizar el seguimiento y presentación de informes ante la Comisión Europea sobre el estado de situación con respecto a la conformidad de los sitios web y las aplicaciones para dispositivos móviles de los organismos del sector público con los requisitos de accesibilidad.</w:t>
      </w:r>
    </w:p>
    <w:p w14:paraId="3DE401EE" w14:textId="77777777" w:rsidR="000B3E12" w:rsidRDefault="000B3E12">
      <w:pPr>
        <w:jc w:val="both"/>
        <w:rPr>
          <w:rFonts w:ascii="Roboto" w:eastAsia="Roboto" w:hAnsi="Roboto" w:cs="Roboto"/>
          <w:sz w:val="22"/>
          <w:szCs w:val="22"/>
        </w:rPr>
      </w:pPr>
    </w:p>
    <w:p w14:paraId="3BBB5D77" w14:textId="2C62860A" w:rsidR="007815C3" w:rsidRDefault="00374ED1">
      <w:pPr>
        <w:jc w:val="both"/>
        <w:rPr>
          <w:rFonts w:ascii="Roboto" w:eastAsia="Roboto" w:hAnsi="Roboto" w:cs="Roboto"/>
          <w:sz w:val="22"/>
          <w:szCs w:val="22"/>
        </w:rPr>
      </w:pPr>
      <w:r w:rsidRPr="44E83659">
        <w:rPr>
          <w:rFonts w:ascii="Roboto" w:eastAsia="Roboto" w:hAnsi="Roboto" w:cs="Roboto"/>
          <w:sz w:val="22"/>
          <w:szCs w:val="22"/>
        </w:rPr>
        <w:t>Asimismo, e</w:t>
      </w:r>
      <w:r w:rsidR="006F3C7F" w:rsidRPr="44E83659">
        <w:rPr>
          <w:rFonts w:ascii="Roboto" w:eastAsia="Roboto" w:hAnsi="Roboto" w:cs="Roboto"/>
          <w:sz w:val="22"/>
          <w:szCs w:val="22"/>
        </w:rPr>
        <w:t xml:space="preserve">ste real decreto es un ejemplo del uso de la acreditación como herramienta al servicio de la Administración para alcanzar sus objetivos en materia de políticas públicas, ya que establece que las entidades obligadas a evaluar la accesibilidad de sus páginas web y aplicaciones para dispositivos móviles podrán certificar el cumplimiento de los requisitos del real decreto mediante una entidad cuya competencia técnica haya sido reconocida formalmente por la Entidad Nacional de Acreditación (ENAC). </w:t>
      </w:r>
    </w:p>
    <w:p w14:paraId="3BBB5D78" w14:textId="77777777" w:rsidR="007815C3" w:rsidRDefault="007815C3">
      <w:pPr>
        <w:jc w:val="both"/>
        <w:rPr>
          <w:rFonts w:ascii="Roboto" w:eastAsia="Roboto" w:hAnsi="Roboto" w:cs="Roboto"/>
          <w:sz w:val="22"/>
          <w:szCs w:val="22"/>
        </w:rPr>
      </w:pPr>
    </w:p>
    <w:p w14:paraId="3BBB5D7D" w14:textId="77777777" w:rsidR="007815C3" w:rsidRDefault="006F3C7F">
      <w:pPr>
        <w:jc w:val="both"/>
        <w:rPr>
          <w:rFonts w:ascii="Roboto" w:eastAsia="Roboto" w:hAnsi="Roboto" w:cs="Roboto"/>
          <w:sz w:val="22"/>
          <w:szCs w:val="22"/>
        </w:rPr>
      </w:pPr>
      <w:r>
        <w:rPr>
          <w:rFonts w:ascii="Roboto" w:eastAsia="Roboto" w:hAnsi="Roboto" w:cs="Roboto"/>
          <w:sz w:val="22"/>
          <w:szCs w:val="22"/>
        </w:rPr>
        <w:t>La confianza en la acreditación de ENAC reside en que es una herramienta para poder identificar a las entidades que han demostrado ser técnicamente independientes y fiables, que disponen de los recursos materiales y humanos necesarios, y, por supuesto, que están sometidas a estrictos controles internos y externos para asegurar la veracidad y valor de sus certificados.</w:t>
      </w:r>
    </w:p>
    <w:p w14:paraId="3BBB5D7E" w14:textId="77777777" w:rsidR="007815C3" w:rsidRDefault="007815C3">
      <w:pPr>
        <w:jc w:val="both"/>
        <w:rPr>
          <w:rFonts w:ascii="Roboto" w:eastAsia="Roboto" w:hAnsi="Roboto" w:cs="Roboto"/>
          <w:sz w:val="22"/>
          <w:szCs w:val="22"/>
        </w:rPr>
      </w:pPr>
    </w:p>
    <w:p w14:paraId="3BBB5D7F" w14:textId="45F10EF9" w:rsidR="007815C3" w:rsidRDefault="007815C3">
      <w:pPr>
        <w:jc w:val="both"/>
        <w:rPr>
          <w:rFonts w:ascii="Roboto" w:eastAsia="Roboto" w:hAnsi="Roboto" w:cs="Roboto"/>
          <w:sz w:val="22"/>
          <w:szCs w:val="22"/>
        </w:rPr>
      </w:pPr>
    </w:p>
    <w:p w14:paraId="3BBB5D80" w14:textId="77777777" w:rsidR="007815C3" w:rsidRDefault="007815C3">
      <w:pPr>
        <w:shd w:val="clear" w:color="auto" w:fill="FFFFFF"/>
        <w:jc w:val="both"/>
        <w:rPr>
          <w:rFonts w:ascii="Roboto" w:eastAsia="Roboto" w:hAnsi="Roboto" w:cs="Roboto"/>
          <w:sz w:val="22"/>
          <w:szCs w:val="22"/>
        </w:rPr>
      </w:pPr>
    </w:p>
    <w:p w14:paraId="3BBB5D81" w14:textId="77777777" w:rsidR="007815C3" w:rsidRDefault="007815C3">
      <w:pPr>
        <w:shd w:val="clear" w:color="auto" w:fill="FFFFFF"/>
        <w:jc w:val="both"/>
        <w:rPr>
          <w:rFonts w:ascii="Roboto" w:eastAsia="Roboto" w:hAnsi="Roboto" w:cs="Roboto"/>
          <w:sz w:val="22"/>
          <w:szCs w:val="22"/>
        </w:rPr>
      </w:pPr>
    </w:p>
    <w:p w14:paraId="3BBB5D82" w14:textId="77777777" w:rsidR="007815C3" w:rsidRDefault="006F3C7F">
      <w:pPr>
        <w:shd w:val="clear" w:color="auto" w:fill="FFFFFF"/>
        <w:jc w:val="both"/>
        <w:rPr>
          <w:rFonts w:ascii="Roboto" w:eastAsia="Roboto" w:hAnsi="Roboto" w:cs="Roboto"/>
          <w:color w:val="E83544"/>
          <w:sz w:val="22"/>
          <w:szCs w:val="22"/>
        </w:rPr>
      </w:pPr>
      <w:r>
        <w:rPr>
          <w:rFonts w:ascii="Roboto" w:eastAsia="Roboto" w:hAnsi="Roboto" w:cs="Roboto"/>
          <w:b/>
          <w:color w:val="E83544"/>
          <w:sz w:val="22"/>
          <w:szCs w:val="22"/>
        </w:rPr>
        <w:t>Sobre ENAC</w:t>
      </w:r>
      <w:r>
        <w:rPr>
          <w:rFonts w:ascii="Roboto" w:eastAsia="Roboto" w:hAnsi="Roboto" w:cs="Roboto"/>
          <w:color w:val="E83544"/>
          <w:sz w:val="22"/>
          <w:szCs w:val="22"/>
        </w:rPr>
        <w:t xml:space="preserve"> </w:t>
      </w:r>
    </w:p>
    <w:p w14:paraId="3BBB5D83" w14:textId="77777777" w:rsidR="007815C3" w:rsidRDefault="006F3C7F">
      <w:pPr>
        <w:shd w:val="clear" w:color="auto" w:fill="FFFFFF"/>
        <w:jc w:val="both"/>
        <w:rPr>
          <w:rFonts w:ascii="Roboto" w:eastAsia="Roboto" w:hAnsi="Roboto" w:cs="Roboto"/>
          <w:sz w:val="22"/>
          <w:szCs w:val="22"/>
        </w:rPr>
      </w:pPr>
      <w:r>
        <w:rPr>
          <w:rFonts w:ascii="Roboto" w:eastAsia="Roboto" w:hAnsi="Roboto" w:cs="Roboto"/>
          <w:sz w:val="22"/>
          <w:szCs w:val="22"/>
        </w:rPr>
        <w:t xml:space="preserve">La Entidad Nacional de Acreditación – ENAC – es la entidad designada por el Gobierno para operar en España como el único Organismo Nacional de Acreditación, en aplicación del Reglamento (CE) nº765/2008 del Parlamento Europeo que regula el funcionamiento de la acreditación en Europa. </w:t>
      </w:r>
    </w:p>
    <w:p w14:paraId="3BBB5D84" w14:textId="77777777" w:rsidR="007815C3" w:rsidRDefault="006F3C7F">
      <w:pPr>
        <w:shd w:val="clear" w:color="auto" w:fill="FFFFFF"/>
        <w:jc w:val="both"/>
        <w:rPr>
          <w:rFonts w:ascii="Roboto" w:eastAsia="Roboto" w:hAnsi="Roboto" w:cs="Roboto"/>
          <w:color w:val="1F497D"/>
          <w:sz w:val="22"/>
          <w:szCs w:val="22"/>
        </w:rPr>
      </w:pPr>
      <w:r>
        <w:rPr>
          <w:rFonts w:ascii="Roboto" w:eastAsia="Roboto" w:hAnsi="Roboto" w:cs="Roboto"/>
          <w:color w:val="1F497D"/>
          <w:sz w:val="22"/>
          <w:szCs w:val="22"/>
        </w:rPr>
        <w:t xml:space="preserve">  </w:t>
      </w:r>
    </w:p>
    <w:p w14:paraId="3BBB5D85" w14:textId="77777777" w:rsidR="007815C3" w:rsidRDefault="006F3C7F">
      <w:pPr>
        <w:shd w:val="clear" w:color="auto" w:fill="FFFFFF"/>
        <w:jc w:val="both"/>
        <w:rPr>
          <w:rFonts w:ascii="Roboto" w:eastAsia="Roboto" w:hAnsi="Roboto" w:cs="Roboto"/>
          <w:sz w:val="22"/>
          <w:szCs w:val="22"/>
        </w:rPr>
      </w:pPr>
      <w:r>
        <w:rPr>
          <w:rFonts w:ascii="Roboto" w:eastAsia="Roboto" w:hAnsi="Roboto" w:cs="Roboto"/>
          <w:sz w:val="22"/>
          <w:szCs w:val="22"/>
        </w:rPr>
        <w:t xml:space="preserve">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3BBB5D86" w14:textId="77777777" w:rsidR="007815C3" w:rsidRDefault="006F3C7F">
      <w:pPr>
        <w:shd w:val="clear" w:color="auto" w:fill="FFFFFF"/>
        <w:jc w:val="both"/>
        <w:rPr>
          <w:rFonts w:ascii="Roboto" w:eastAsia="Roboto" w:hAnsi="Roboto" w:cs="Roboto"/>
          <w:sz w:val="22"/>
          <w:szCs w:val="22"/>
        </w:rPr>
      </w:pPr>
      <w:r>
        <w:rPr>
          <w:rFonts w:ascii="Roboto" w:eastAsia="Roboto" w:hAnsi="Roboto" w:cs="Roboto"/>
          <w:sz w:val="22"/>
          <w:szCs w:val="22"/>
        </w:rPr>
        <w:t xml:space="preserve">  </w:t>
      </w:r>
    </w:p>
    <w:p w14:paraId="3BBB5D87" w14:textId="77777777" w:rsidR="007815C3" w:rsidRDefault="006F3C7F">
      <w:pPr>
        <w:shd w:val="clear" w:color="auto" w:fill="FFFFFF"/>
        <w:jc w:val="both"/>
        <w:rPr>
          <w:rFonts w:ascii="Roboto" w:eastAsia="Roboto" w:hAnsi="Roboto" w:cs="Roboto"/>
          <w:sz w:val="22"/>
          <w:szCs w:val="22"/>
        </w:rPr>
      </w:pPr>
      <w:r>
        <w:rPr>
          <w:rFonts w:ascii="Roboto" w:eastAsia="Roboto" w:hAnsi="Roboto" w:cs="Roboto"/>
          <w:sz w:val="22"/>
          <w:szCs w:val="22"/>
        </w:rPr>
        <w:t xml:space="preserve">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 </w:t>
      </w:r>
    </w:p>
    <w:p w14:paraId="3BBB5D88" w14:textId="77777777" w:rsidR="007815C3" w:rsidRDefault="007815C3">
      <w:pPr>
        <w:jc w:val="both"/>
        <w:rPr>
          <w:rFonts w:ascii="Roboto" w:eastAsia="Roboto" w:hAnsi="Roboto" w:cs="Roboto"/>
          <w:sz w:val="22"/>
          <w:szCs w:val="22"/>
        </w:rPr>
      </w:pPr>
    </w:p>
    <w:p w14:paraId="3BBB5D89" w14:textId="77777777" w:rsidR="007815C3" w:rsidRDefault="00FA1CF8">
      <w:pPr>
        <w:pBdr>
          <w:bottom w:val="single" w:sz="12" w:space="1" w:color="000000"/>
        </w:pBdr>
        <w:jc w:val="both"/>
        <w:rPr>
          <w:rFonts w:ascii="Roboto" w:eastAsia="Roboto" w:hAnsi="Roboto" w:cs="Roboto"/>
          <w:color w:val="E83544"/>
          <w:sz w:val="22"/>
          <w:szCs w:val="22"/>
        </w:rPr>
      </w:pPr>
      <w:hyperlink r:id="rId13">
        <w:r w:rsidR="006F3C7F">
          <w:rPr>
            <w:rFonts w:ascii="Roboto" w:eastAsia="Roboto" w:hAnsi="Roboto" w:cs="Roboto"/>
            <w:color w:val="E83544"/>
            <w:sz w:val="22"/>
            <w:szCs w:val="22"/>
            <w:u w:val="single"/>
          </w:rPr>
          <w:t>www.enac.es</w:t>
        </w:r>
      </w:hyperlink>
      <w:r w:rsidR="006F3C7F">
        <w:rPr>
          <w:rFonts w:ascii="Roboto" w:eastAsia="Roboto" w:hAnsi="Roboto" w:cs="Roboto"/>
          <w:color w:val="E83544"/>
          <w:sz w:val="22"/>
          <w:szCs w:val="22"/>
        </w:rPr>
        <w:t xml:space="preserve"> </w:t>
      </w:r>
    </w:p>
    <w:p w14:paraId="3BBB5D8A" w14:textId="77777777" w:rsidR="007815C3" w:rsidRDefault="007815C3">
      <w:pPr>
        <w:pBdr>
          <w:bottom w:val="single" w:sz="12" w:space="1" w:color="000000"/>
        </w:pBdr>
        <w:jc w:val="both"/>
        <w:rPr>
          <w:rFonts w:ascii="Roboto" w:eastAsia="Roboto" w:hAnsi="Roboto" w:cs="Roboto"/>
          <w:color w:val="E83544"/>
          <w:sz w:val="22"/>
          <w:szCs w:val="22"/>
        </w:rPr>
      </w:pPr>
    </w:p>
    <w:p w14:paraId="3BBB5D8B" w14:textId="77777777" w:rsidR="007815C3" w:rsidRDefault="006F3C7F">
      <w:pPr>
        <w:pBdr>
          <w:bottom w:val="single" w:sz="12" w:space="1" w:color="000000"/>
        </w:pBdr>
        <w:jc w:val="both"/>
        <w:rPr>
          <w:rFonts w:ascii="Roboto" w:eastAsia="Roboto" w:hAnsi="Roboto" w:cs="Roboto"/>
          <w:sz w:val="22"/>
          <w:szCs w:val="22"/>
        </w:rPr>
      </w:pPr>
      <w:r>
        <w:rPr>
          <w:rFonts w:ascii="Roboto" w:eastAsia="Roboto" w:hAnsi="Roboto" w:cs="Roboto"/>
          <w:color w:val="0000FF"/>
          <w:sz w:val="22"/>
          <w:szCs w:val="22"/>
        </w:rPr>
        <w:t xml:space="preserve"> </w:t>
      </w:r>
      <w:r>
        <w:rPr>
          <w:rFonts w:ascii="Roboto" w:eastAsia="Roboto" w:hAnsi="Roboto" w:cs="Roboto"/>
          <w:noProof/>
          <w:color w:val="0000FF"/>
          <w:sz w:val="22"/>
          <w:szCs w:val="22"/>
        </w:rPr>
        <w:drawing>
          <wp:inline distT="0" distB="0" distL="0" distR="0" wp14:anchorId="3BBB5D93" wp14:editId="3BBB5D94">
            <wp:extent cx="304800" cy="304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04800" cy="304800"/>
                    </a:xfrm>
                    <a:prstGeom prst="rect">
                      <a:avLst/>
                    </a:prstGeom>
                    <a:ln/>
                  </pic:spPr>
                </pic:pic>
              </a:graphicData>
            </a:graphic>
          </wp:inline>
        </w:drawing>
      </w:r>
      <w:r>
        <w:rPr>
          <w:rFonts w:ascii="Roboto" w:eastAsia="Roboto" w:hAnsi="Roboto" w:cs="Roboto"/>
          <w:color w:val="0000FF"/>
          <w:sz w:val="22"/>
          <w:szCs w:val="22"/>
        </w:rPr>
        <w:t xml:space="preserve">  </w:t>
      </w:r>
      <w:r>
        <w:rPr>
          <w:rFonts w:ascii="Roboto" w:eastAsia="Roboto" w:hAnsi="Roboto" w:cs="Roboto"/>
          <w:noProof/>
          <w:color w:val="0000FF"/>
          <w:sz w:val="22"/>
          <w:szCs w:val="22"/>
        </w:rPr>
        <w:drawing>
          <wp:inline distT="0" distB="0" distL="0" distR="0" wp14:anchorId="3BBB5D95" wp14:editId="3BBB5D96">
            <wp:extent cx="304800" cy="304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04800" cy="304800"/>
                    </a:xfrm>
                    <a:prstGeom prst="rect">
                      <a:avLst/>
                    </a:prstGeom>
                    <a:ln/>
                  </pic:spPr>
                </pic:pic>
              </a:graphicData>
            </a:graphic>
          </wp:inline>
        </w:drawing>
      </w:r>
    </w:p>
    <w:p w14:paraId="3BBB5D8C" w14:textId="77777777" w:rsidR="007815C3" w:rsidRDefault="007815C3">
      <w:pPr>
        <w:pBdr>
          <w:bottom w:val="single" w:sz="12" w:space="1" w:color="000000"/>
        </w:pBdr>
        <w:jc w:val="both"/>
        <w:rPr>
          <w:rFonts w:ascii="Roboto" w:eastAsia="Roboto" w:hAnsi="Roboto" w:cs="Roboto"/>
          <w:color w:val="E83544"/>
          <w:sz w:val="22"/>
          <w:szCs w:val="22"/>
        </w:rPr>
      </w:pPr>
    </w:p>
    <w:p w14:paraId="3BBB5D8D" w14:textId="77777777" w:rsidR="007815C3" w:rsidRDefault="007815C3">
      <w:pPr>
        <w:jc w:val="both"/>
        <w:rPr>
          <w:rFonts w:ascii="Roboto" w:eastAsia="Roboto" w:hAnsi="Roboto" w:cs="Roboto"/>
          <w:color w:val="E83544"/>
          <w:sz w:val="22"/>
          <w:szCs w:val="22"/>
        </w:rPr>
      </w:pPr>
    </w:p>
    <w:p w14:paraId="3BBB5D8E" w14:textId="77777777" w:rsidR="007815C3" w:rsidRDefault="006F3C7F">
      <w:pPr>
        <w:jc w:val="both"/>
        <w:rPr>
          <w:rFonts w:ascii="Roboto" w:eastAsia="Roboto" w:hAnsi="Roboto" w:cs="Roboto"/>
          <w:sz w:val="22"/>
          <w:szCs w:val="22"/>
        </w:rPr>
      </w:pPr>
      <w:r>
        <w:rPr>
          <w:rFonts w:ascii="Roboto" w:eastAsia="Roboto" w:hAnsi="Roboto" w:cs="Roboto"/>
          <w:sz w:val="22"/>
          <w:szCs w:val="22"/>
        </w:rPr>
        <w:t>Para más información sobre la nota de prensa, resolver dudas o gestionar entrevistas</w:t>
      </w:r>
    </w:p>
    <w:p w14:paraId="3BBB5D8F" w14:textId="77777777" w:rsidR="007815C3" w:rsidRDefault="006F3C7F">
      <w:pPr>
        <w:jc w:val="both"/>
        <w:rPr>
          <w:rFonts w:ascii="Roboto" w:eastAsia="Roboto" w:hAnsi="Roboto" w:cs="Roboto"/>
          <w:sz w:val="22"/>
          <w:szCs w:val="22"/>
        </w:rPr>
      </w:pPr>
      <w:r>
        <w:rPr>
          <w:rFonts w:ascii="Roboto" w:eastAsia="Roboto" w:hAnsi="Roboto" w:cs="Roboto"/>
          <w:sz w:val="22"/>
          <w:szCs w:val="22"/>
        </w:rPr>
        <w:t>Eva Martín</w:t>
      </w:r>
    </w:p>
    <w:p w14:paraId="3BBB5D90" w14:textId="77777777" w:rsidR="007815C3" w:rsidRDefault="006F3C7F">
      <w:pPr>
        <w:jc w:val="both"/>
        <w:rPr>
          <w:rFonts w:ascii="Calibri" w:eastAsia="Calibri" w:hAnsi="Calibri" w:cs="Calibri"/>
          <w:b/>
          <w:sz w:val="22"/>
          <w:szCs w:val="22"/>
          <w:u w:val="single"/>
        </w:rPr>
      </w:pPr>
      <w:r>
        <w:rPr>
          <w:rFonts w:ascii="Roboto" w:eastAsia="Roboto" w:hAnsi="Roboto" w:cs="Roboto"/>
          <w:sz w:val="22"/>
          <w:szCs w:val="22"/>
        </w:rPr>
        <w:t xml:space="preserve">Tfno. 628 17 49 01 / </w:t>
      </w:r>
      <w:r>
        <w:rPr>
          <w:rFonts w:ascii="Roboto" w:eastAsia="Roboto" w:hAnsi="Roboto" w:cs="Roboto"/>
          <w:color w:val="E83544"/>
          <w:sz w:val="22"/>
          <w:szCs w:val="22"/>
        </w:rPr>
        <w:t xml:space="preserve"> </w:t>
      </w:r>
      <w:hyperlink r:id="rId16">
        <w:r>
          <w:rPr>
            <w:rFonts w:ascii="Roboto" w:eastAsia="Roboto" w:hAnsi="Roboto" w:cs="Roboto"/>
            <w:color w:val="E83544"/>
            <w:sz w:val="22"/>
            <w:szCs w:val="22"/>
            <w:u w:val="single"/>
          </w:rPr>
          <w:t>evamc@varenga.es</w:t>
        </w:r>
      </w:hyperlink>
    </w:p>
    <w:p w14:paraId="3BBB5D91" w14:textId="77777777" w:rsidR="007815C3" w:rsidRDefault="007815C3">
      <w:pPr>
        <w:jc w:val="both"/>
        <w:rPr>
          <w:rFonts w:ascii="Calibri" w:eastAsia="Calibri" w:hAnsi="Calibri" w:cs="Calibri"/>
          <w:b/>
          <w:sz w:val="22"/>
          <w:szCs w:val="22"/>
          <w:u w:val="single"/>
        </w:rPr>
      </w:pPr>
    </w:p>
    <w:p w14:paraId="3BBB5D92" w14:textId="77777777" w:rsidR="007815C3" w:rsidRDefault="007815C3">
      <w:pPr>
        <w:pBdr>
          <w:top w:val="nil"/>
          <w:left w:val="nil"/>
          <w:bottom w:val="nil"/>
          <w:right w:val="nil"/>
          <w:between w:val="nil"/>
        </w:pBdr>
        <w:rPr>
          <w:rFonts w:ascii="Calibri" w:eastAsia="Calibri" w:hAnsi="Calibri" w:cs="Calibri"/>
          <w:highlight w:val="white"/>
        </w:rPr>
      </w:pPr>
    </w:p>
    <w:sectPr w:rsidR="007815C3">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86B3" w14:textId="77777777" w:rsidR="00134557" w:rsidRDefault="00134557">
      <w:r>
        <w:separator/>
      </w:r>
    </w:p>
  </w:endnote>
  <w:endnote w:type="continuationSeparator" w:id="0">
    <w:p w14:paraId="5A02AD4E" w14:textId="77777777" w:rsidR="00134557" w:rsidRDefault="00134557">
      <w:r>
        <w:continuationSeparator/>
      </w:r>
    </w:p>
  </w:endnote>
  <w:endnote w:type="continuationNotice" w:id="1">
    <w:p w14:paraId="12B47B00" w14:textId="77777777" w:rsidR="00134557" w:rsidRDefault="00134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5D9A" w14:textId="1DAD33BB" w:rsidR="007815C3" w:rsidRDefault="006F3C7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210071">
      <w:rPr>
        <w:noProof/>
        <w:color w:val="000000"/>
      </w:rPr>
      <w:t>1</w:t>
    </w:r>
    <w:r>
      <w:rPr>
        <w:color w:val="000000"/>
      </w:rPr>
      <w:fldChar w:fldCharType="end"/>
    </w:r>
  </w:p>
  <w:p w14:paraId="3BBB5D9B" w14:textId="77777777" w:rsidR="007815C3" w:rsidRDefault="007815C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AD1F" w14:textId="77777777" w:rsidR="00134557" w:rsidRDefault="00134557">
      <w:r>
        <w:separator/>
      </w:r>
    </w:p>
  </w:footnote>
  <w:footnote w:type="continuationSeparator" w:id="0">
    <w:p w14:paraId="1CB6353A" w14:textId="77777777" w:rsidR="00134557" w:rsidRDefault="00134557">
      <w:r>
        <w:continuationSeparator/>
      </w:r>
    </w:p>
  </w:footnote>
  <w:footnote w:type="continuationNotice" w:id="1">
    <w:p w14:paraId="48816EBA" w14:textId="77777777" w:rsidR="00134557" w:rsidRDefault="00134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5D97" w14:textId="77777777" w:rsidR="007815C3" w:rsidRDefault="006F3C7F">
    <w:pPr>
      <w:ind w:left="-120"/>
      <w:jc w:val="both"/>
      <w:rPr>
        <w:rFonts w:ascii="Calibri" w:eastAsia="Calibri" w:hAnsi="Calibri" w:cs="Calibri"/>
        <w:b/>
        <w:sz w:val="40"/>
        <w:szCs w:val="40"/>
      </w:rPr>
    </w:pPr>
    <w:r>
      <w:rPr>
        <w:noProof/>
      </w:rPr>
      <w:drawing>
        <wp:anchor distT="114300" distB="114300" distL="114300" distR="114300" simplePos="0" relativeHeight="251658240" behindDoc="0" locked="0" layoutInCell="1" hidden="0" allowOverlap="1" wp14:anchorId="3BBB5D9C" wp14:editId="3BBB5D9D">
          <wp:simplePos x="0" y="0"/>
          <wp:positionH relativeFrom="column">
            <wp:posOffset>4114800</wp:posOffset>
          </wp:positionH>
          <wp:positionV relativeFrom="paragraph">
            <wp:posOffset>-304797</wp:posOffset>
          </wp:positionV>
          <wp:extent cx="1547842" cy="997267"/>
          <wp:effectExtent l="0" t="0" r="0" b="0"/>
          <wp:wrapSquare wrapText="bothSides" distT="114300" distB="11430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7842" cy="997267"/>
                  </a:xfrm>
                  <a:prstGeom prst="rect">
                    <a:avLst/>
                  </a:prstGeom>
                  <a:ln/>
                </pic:spPr>
              </pic:pic>
            </a:graphicData>
          </a:graphic>
        </wp:anchor>
      </w:drawing>
    </w:r>
  </w:p>
  <w:p w14:paraId="3BBB5D98" w14:textId="77777777" w:rsidR="007815C3" w:rsidRDefault="006F3C7F">
    <w:pPr>
      <w:ind w:left="-120"/>
      <w:jc w:val="both"/>
      <w:rPr>
        <w:rFonts w:ascii="Nunito" w:eastAsia="Nunito" w:hAnsi="Nunito" w:cs="Nunito"/>
        <w:sz w:val="22"/>
        <w:szCs w:val="22"/>
      </w:rPr>
    </w:pPr>
    <w:r>
      <w:rPr>
        <w:rFonts w:ascii="Nunito" w:eastAsia="Nunito" w:hAnsi="Nunito" w:cs="Nunito"/>
        <w:b/>
        <w:sz w:val="40"/>
        <w:szCs w:val="40"/>
      </w:rPr>
      <w:t>NOTA DE PRENSA</w:t>
    </w:r>
    <w:r>
      <w:rPr>
        <w:rFonts w:ascii="Nunito" w:eastAsia="Nunito" w:hAnsi="Nunito" w:cs="Nunito"/>
        <w:sz w:val="22"/>
        <w:szCs w:val="22"/>
      </w:rPr>
      <w:t xml:space="preserve"> </w:t>
    </w:r>
  </w:p>
  <w:p w14:paraId="3BBB5D99" w14:textId="77777777" w:rsidR="007815C3" w:rsidRDefault="007815C3">
    <w:pPr>
      <w:pBdr>
        <w:top w:val="nil"/>
        <w:left w:val="nil"/>
        <w:bottom w:val="nil"/>
        <w:right w:val="nil"/>
        <w:between w:val="nil"/>
      </w:pBdr>
      <w:tabs>
        <w:tab w:val="center" w:pos="4252"/>
        <w:tab w:val="right" w:pos="8504"/>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fHwwW0zLntw0+3" int2:id="dhHyX2F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4CF6"/>
    <w:multiLevelType w:val="multilevel"/>
    <w:tmpl w:val="5FFE1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453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C3"/>
    <w:rsid w:val="000B3E12"/>
    <w:rsid w:val="0012233E"/>
    <w:rsid w:val="00134557"/>
    <w:rsid w:val="00210071"/>
    <w:rsid w:val="00374ED1"/>
    <w:rsid w:val="00385FA7"/>
    <w:rsid w:val="0042174D"/>
    <w:rsid w:val="006C7A56"/>
    <w:rsid w:val="006F3C7F"/>
    <w:rsid w:val="00711B7C"/>
    <w:rsid w:val="007815C3"/>
    <w:rsid w:val="0078589F"/>
    <w:rsid w:val="00844130"/>
    <w:rsid w:val="008D66FC"/>
    <w:rsid w:val="008E6578"/>
    <w:rsid w:val="00A555F2"/>
    <w:rsid w:val="00AA5133"/>
    <w:rsid w:val="00B97C0A"/>
    <w:rsid w:val="00C9242D"/>
    <w:rsid w:val="00E267DA"/>
    <w:rsid w:val="00EA72F0"/>
    <w:rsid w:val="00F97312"/>
    <w:rsid w:val="00FA1CF8"/>
    <w:rsid w:val="0379695D"/>
    <w:rsid w:val="05B6E8D3"/>
    <w:rsid w:val="0F2C11D7"/>
    <w:rsid w:val="3B962513"/>
    <w:rsid w:val="44E83659"/>
    <w:rsid w:val="6F2995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5D69"/>
  <w15:docId w15:val="{6603D8B8-5400-4007-A439-30ED6268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210071"/>
  </w:style>
  <w:style w:type="paragraph" w:styleId="Encabezado">
    <w:name w:val="header"/>
    <w:basedOn w:val="Normal"/>
    <w:link w:val="EncabezadoCar"/>
    <w:uiPriority w:val="99"/>
    <w:semiHidden/>
    <w:unhideWhenUsed/>
    <w:rsid w:val="00844130"/>
    <w:pPr>
      <w:tabs>
        <w:tab w:val="center" w:pos="4252"/>
        <w:tab w:val="right" w:pos="8504"/>
      </w:tabs>
    </w:pPr>
  </w:style>
  <w:style w:type="character" w:customStyle="1" w:styleId="EncabezadoCar">
    <w:name w:val="Encabezado Car"/>
    <w:basedOn w:val="Fuentedeprrafopredeter"/>
    <w:link w:val="Encabezado"/>
    <w:uiPriority w:val="99"/>
    <w:semiHidden/>
    <w:rsid w:val="00844130"/>
  </w:style>
  <w:style w:type="paragraph" w:styleId="Piedepgina">
    <w:name w:val="footer"/>
    <w:basedOn w:val="Normal"/>
    <w:link w:val="PiedepginaCar"/>
    <w:uiPriority w:val="99"/>
    <w:semiHidden/>
    <w:unhideWhenUsed/>
    <w:rsid w:val="00844130"/>
    <w:pPr>
      <w:tabs>
        <w:tab w:val="center" w:pos="4252"/>
        <w:tab w:val="right" w:pos="8504"/>
      </w:tabs>
    </w:pPr>
  </w:style>
  <w:style w:type="character" w:customStyle="1" w:styleId="PiedepginaCar">
    <w:name w:val="Pie de página Car"/>
    <w:basedOn w:val="Fuentedeprrafopredeter"/>
    <w:link w:val="Piedepgina"/>
    <w:uiPriority w:val="99"/>
    <w:semiHidden/>
    <w:rsid w:val="00844130"/>
  </w:style>
  <w:style w:type="table" w:customStyle="1" w:styleId="TableNormal1">
    <w:name w:val="Table Normal1"/>
    <w:rsid w:val="008441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a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enac.es/documents/7020/5dc00000-6355-4c6d-8e68-7959de0f016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amc@vareng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oe/dias/2018/09/19/pdfs/BOE-A-2018-12699.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enac.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4" ma:contentTypeDescription="Crear nuevo documento." ma:contentTypeScope="" ma:versionID="8c82859fd4e960b8ffaef0e39e16015c">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049ab530a684e88a73025cf0b0ecb7f7"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6efcf77-0706-4f8e-b256-a6b4bd8b1840}" ma:internalName="TaxCatchAll" ma:showField="CatchAllData" ma:web="909e21e3-a2e2-47ca-be0e-9c3a9bef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90ce1-b2e7-4ccb-948d-a290ef611fa1">
      <Terms xmlns="http://schemas.microsoft.com/office/infopath/2007/PartnerControls"/>
    </lcf76f155ced4ddcb4097134ff3c332f>
    <TaxCatchAll xmlns="909e21e3-a2e2-47ca-be0e-9c3a9bef9292" xsi:nil="true"/>
  </documentManagement>
</p:properties>
</file>

<file path=customXml/itemProps1.xml><?xml version="1.0" encoding="utf-8"?>
<ds:datastoreItem xmlns:ds="http://schemas.openxmlformats.org/officeDocument/2006/customXml" ds:itemID="{68EF2409-A772-4F26-BA6C-A7281237AA9C}">
  <ds:schemaRefs>
    <ds:schemaRef ds:uri="http://schemas.microsoft.com/sharepoint/v3/contenttype/forms"/>
  </ds:schemaRefs>
</ds:datastoreItem>
</file>

<file path=customXml/itemProps2.xml><?xml version="1.0" encoding="utf-8"?>
<ds:datastoreItem xmlns:ds="http://schemas.openxmlformats.org/officeDocument/2006/customXml" ds:itemID="{8F2BA701-0FBB-4952-8380-ACE82F69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0ce1-b2e7-4ccb-948d-a290ef611fa1"/>
    <ds:schemaRef ds:uri="909e21e3-a2e2-47ca-be0e-9c3a9be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3CAA7-D84D-466D-9330-F6F03AF081AE}">
  <ds:schemaRefs>
    <ds:schemaRef ds:uri="http://schemas.microsoft.com/office/2006/metadata/properties"/>
    <ds:schemaRef ds:uri="http://schemas.microsoft.com/office/infopath/2007/PartnerControls"/>
    <ds:schemaRef ds:uri="6e290ce1-b2e7-4ccb-948d-a290ef611fa1"/>
    <ds:schemaRef ds:uri="909e21e3-a2e2-47ca-be0e-9c3a9bef92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4232</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Diaz Pozo</dc:creator>
  <cp:keywords/>
  <cp:lastModifiedBy>Denise Diaz Pozo</cp:lastModifiedBy>
  <cp:revision>15</cp:revision>
  <dcterms:created xsi:type="dcterms:W3CDTF">2023-05-24T18:44:00Z</dcterms:created>
  <dcterms:modified xsi:type="dcterms:W3CDTF">2023-05-26T06:45:00Z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