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5550" w14:textId="77777777" w:rsidR="00896B03" w:rsidRDefault="00896B03">
      <w:pPr>
        <w:jc w:val="center"/>
        <w:rPr>
          <w:rFonts w:ascii="Roboto" w:eastAsia="Roboto" w:hAnsi="Roboto" w:cs="Roboto"/>
          <w:b/>
          <w:sz w:val="28"/>
          <w:szCs w:val="28"/>
          <w:u w:val="single"/>
        </w:rPr>
      </w:pPr>
    </w:p>
    <w:p w14:paraId="39655551" w14:textId="77777777" w:rsidR="00896B03" w:rsidRDefault="004221F4">
      <w:pPr>
        <w:shd w:val="clear" w:color="auto" w:fill="FFFFFF"/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Calibri" w:eastAsia="Calibri" w:hAnsi="Calibri" w:cs="Calibri"/>
          <w:b/>
          <w:sz w:val="46"/>
          <w:szCs w:val="46"/>
        </w:rPr>
        <w:t xml:space="preserve">ENAC actualiza su esquema de acreditación para la validación del principio DNSH </w:t>
      </w:r>
      <w:r>
        <w:rPr>
          <w:rFonts w:ascii="Roboto" w:eastAsia="Roboto" w:hAnsi="Roboto" w:cs="Roboto"/>
          <w:b/>
          <w:sz w:val="46"/>
          <w:szCs w:val="46"/>
        </w:rPr>
        <w:t xml:space="preserve"> </w:t>
      </w:r>
      <w:r>
        <w:rPr>
          <w:rFonts w:ascii="Roboto" w:eastAsia="Roboto" w:hAnsi="Roboto" w:cs="Roboto"/>
          <w:sz w:val="28"/>
          <w:szCs w:val="28"/>
        </w:rPr>
        <w:t xml:space="preserve"> </w:t>
      </w:r>
    </w:p>
    <w:p w14:paraId="39655552" w14:textId="77777777" w:rsidR="00896B03" w:rsidRDefault="004221F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70DF7718" w14:textId="454E263C" w:rsidR="00621FC1" w:rsidRDefault="00621FC1" w:rsidP="00621FC1">
      <w:pPr>
        <w:numPr>
          <w:ilvl w:val="0"/>
          <w:numId w:val="1"/>
        </w:numPr>
        <w:spacing w:after="150"/>
        <w:jc w:val="both"/>
        <w:rPr>
          <w:rFonts w:ascii="Roboto" w:eastAsia="Roboto" w:hAnsi="Roboto" w:cs="Roboto"/>
          <w:sz w:val="20"/>
          <w:szCs w:val="20"/>
        </w:rPr>
      </w:pPr>
      <w:r w:rsidRPr="7A1AB6AC">
        <w:rPr>
          <w:rFonts w:ascii="Roboto" w:eastAsia="Roboto" w:hAnsi="Roboto" w:cs="Roboto"/>
          <w:b/>
          <w:bCs/>
          <w:sz w:val="22"/>
          <w:szCs w:val="22"/>
        </w:rPr>
        <w:t xml:space="preserve">En concreto, </w:t>
      </w:r>
      <w:r w:rsidR="004221F4" w:rsidRPr="7A1AB6AC">
        <w:rPr>
          <w:rFonts w:ascii="Roboto" w:eastAsia="Roboto" w:hAnsi="Roboto" w:cs="Roboto"/>
          <w:b/>
          <w:bCs/>
          <w:sz w:val="22"/>
          <w:szCs w:val="22"/>
        </w:rPr>
        <w:t>el esquema ha incorporado</w:t>
      </w:r>
      <w:r w:rsidRPr="7A1AB6AC">
        <w:rPr>
          <w:rFonts w:ascii="Roboto" w:eastAsia="Roboto" w:hAnsi="Roboto" w:cs="Roboto"/>
          <w:b/>
          <w:bCs/>
          <w:sz w:val="22"/>
          <w:szCs w:val="22"/>
        </w:rPr>
        <w:t xml:space="preserve"> requisitos para los procesos de validación dentro del marco de actuación del Centro para el Desarrollo Tecnológico Industrial (CDTI)</w:t>
      </w:r>
    </w:p>
    <w:p w14:paraId="39655553" w14:textId="77777777" w:rsidR="00896B03" w:rsidRPr="007012AD" w:rsidRDefault="004221F4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bCs/>
          <w:sz w:val="20"/>
          <w:szCs w:val="20"/>
        </w:rPr>
      </w:pPr>
      <w:r w:rsidRPr="007012AD">
        <w:rPr>
          <w:rFonts w:ascii="Roboto" w:eastAsia="Roboto" w:hAnsi="Roboto" w:cs="Roboto"/>
          <w:b/>
          <w:bCs/>
          <w:sz w:val="22"/>
          <w:szCs w:val="22"/>
        </w:rPr>
        <w:t>Se ha adaptado para que pueda ser aplicado cuando sea requerido en programas de ayudas gestionados por cualquier administración</w:t>
      </w:r>
    </w:p>
    <w:p w14:paraId="39655554" w14:textId="77777777" w:rsidR="00896B03" w:rsidRDefault="00896B03">
      <w:pPr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14:paraId="7A19EC03" w14:textId="77777777" w:rsidR="007012AD" w:rsidRDefault="007012AD" w:rsidP="7A1AB6AC">
      <w:pPr>
        <w:spacing w:after="150"/>
        <w:jc w:val="both"/>
        <w:rPr>
          <w:rFonts w:ascii="Roboto" w:eastAsia="Roboto" w:hAnsi="Roboto" w:cs="Roboto"/>
          <w:color w:val="111111"/>
          <w:sz w:val="22"/>
          <w:szCs w:val="22"/>
        </w:rPr>
      </w:pPr>
    </w:p>
    <w:p w14:paraId="39655557" w14:textId="1CDD8A93" w:rsidR="00896B03" w:rsidRDefault="004221F4" w:rsidP="7A1AB6AC">
      <w:pPr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7A1AB6AC">
        <w:rPr>
          <w:rFonts w:ascii="Roboto" w:eastAsia="Roboto" w:hAnsi="Roboto" w:cs="Roboto"/>
          <w:color w:val="111111"/>
          <w:sz w:val="22"/>
          <w:szCs w:val="22"/>
        </w:rPr>
        <w:t xml:space="preserve">Madrid, </w:t>
      </w:r>
      <w:r w:rsidR="226F5978" w:rsidRPr="7A1AB6AC">
        <w:rPr>
          <w:rFonts w:ascii="Roboto" w:eastAsia="Roboto" w:hAnsi="Roboto" w:cs="Roboto"/>
          <w:color w:val="111111"/>
          <w:sz w:val="22"/>
          <w:szCs w:val="22"/>
        </w:rPr>
        <w:t>13</w:t>
      </w:r>
      <w:r w:rsidRPr="7A1AB6AC">
        <w:rPr>
          <w:rFonts w:ascii="Roboto" w:eastAsia="Roboto" w:hAnsi="Roboto" w:cs="Roboto"/>
          <w:color w:val="111111"/>
          <w:sz w:val="22"/>
          <w:szCs w:val="22"/>
        </w:rPr>
        <w:t xml:space="preserve"> de diciembre de 2022.- La</w:t>
      </w:r>
      <w:hyperlink r:id="rId10" w:history="1">
        <w:r w:rsidRPr="7A1AB6AC">
          <w:rPr>
            <w:rFonts w:ascii="Roboto" w:eastAsia="Roboto" w:hAnsi="Roboto" w:cs="Roboto"/>
            <w:color w:val="111111"/>
            <w:sz w:val="22"/>
            <w:szCs w:val="22"/>
          </w:rPr>
          <w:t xml:space="preserve"> Entidad Nacional de Acreditación</w:t>
        </w:r>
      </w:hyperlink>
      <w:r w:rsidRPr="7A1AB6AC">
        <w:rPr>
          <w:rFonts w:ascii="Roboto" w:eastAsia="Roboto" w:hAnsi="Roboto" w:cs="Roboto"/>
          <w:color w:val="111111"/>
          <w:sz w:val="22"/>
          <w:szCs w:val="22"/>
        </w:rPr>
        <w:t xml:space="preserve"> (</w:t>
      </w:r>
      <w:r w:rsidRPr="7A1AB6AC">
        <w:rPr>
          <w:rFonts w:ascii="Roboto" w:eastAsia="Roboto" w:hAnsi="Roboto" w:cs="Roboto"/>
          <w:b/>
          <w:bCs/>
          <w:sz w:val="22"/>
          <w:szCs w:val="22"/>
        </w:rPr>
        <w:t>ENAC) ha actualizado recientemente su esquema de acreditación</w:t>
      </w:r>
      <w:r w:rsidRPr="7A1AB6AC">
        <w:rPr>
          <w:rFonts w:ascii="Roboto" w:eastAsia="Roboto" w:hAnsi="Roboto" w:cs="Roboto"/>
          <w:sz w:val="22"/>
          <w:szCs w:val="22"/>
        </w:rPr>
        <w:t xml:space="preserve"> dirigido a las entidades que quieran ofrecer servicios acreditados de </w:t>
      </w:r>
      <w:r w:rsidRPr="7A1AB6AC">
        <w:rPr>
          <w:rFonts w:ascii="Roboto" w:eastAsia="Roboto" w:hAnsi="Roboto" w:cs="Roboto"/>
          <w:b/>
          <w:bCs/>
          <w:sz w:val="22"/>
          <w:szCs w:val="22"/>
        </w:rPr>
        <w:t>validación de la autoevaluación</w:t>
      </w:r>
      <w:r w:rsidRPr="7A1AB6AC">
        <w:rPr>
          <w:rFonts w:ascii="Roboto" w:eastAsia="Roboto" w:hAnsi="Roboto" w:cs="Roboto"/>
          <w:sz w:val="22"/>
          <w:szCs w:val="22"/>
        </w:rPr>
        <w:t xml:space="preserve"> con respecto al principio de no causar un perjuicio significativo al medio ambiente (</w:t>
      </w:r>
      <w:r w:rsidRPr="7A1AB6AC">
        <w:rPr>
          <w:rFonts w:ascii="Roboto" w:eastAsia="Roboto" w:hAnsi="Roboto" w:cs="Roboto"/>
          <w:b/>
          <w:bCs/>
          <w:sz w:val="22"/>
          <w:szCs w:val="22"/>
        </w:rPr>
        <w:t>principio DNSH</w:t>
      </w:r>
      <w:r w:rsidRPr="7A1AB6AC">
        <w:rPr>
          <w:rFonts w:ascii="Roboto" w:eastAsia="Roboto" w:hAnsi="Roboto" w:cs="Roboto"/>
          <w:sz w:val="22"/>
          <w:szCs w:val="22"/>
        </w:rPr>
        <w:t xml:space="preserve"> o </w:t>
      </w:r>
      <w:r w:rsidRPr="7A1AB6AC">
        <w:rPr>
          <w:rFonts w:ascii="Roboto" w:eastAsia="Roboto" w:hAnsi="Roboto" w:cs="Roboto"/>
          <w:i/>
          <w:iCs/>
          <w:sz w:val="22"/>
          <w:szCs w:val="22"/>
        </w:rPr>
        <w:t xml:space="preserve">do </w:t>
      </w:r>
      <w:proofErr w:type="spellStart"/>
      <w:r w:rsidRPr="7A1AB6AC">
        <w:rPr>
          <w:rFonts w:ascii="Roboto" w:eastAsia="Roboto" w:hAnsi="Roboto" w:cs="Roboto"/>
          <w:i/>
          <w:iCs/>
          <w:sz w:val="22"/>
          <w:szCs w:val="22"/>
        </w:rPr>
        <w:t>not</w:t>
      </w:r>
      <w:proofErr w:type="spellEnd"/>
      <w:r w:rsidRPr="7A1AB6AC">
        <w:rPr>
          <w:rFonts w:ascii="Roboto" w:eastAsia="Roboto" w:hAnsi="Roboto" w:cs="Roboto"/>
          <w:i/>
          <w:iCs/>
          <w:sz w:val="22"/>
          <w:szCs w:val="22"/>
        </w:rPr>
        <w:t xml:space="preserve"> cause </w:t>
      </w:r>
      <w:proofErr w:type="spellStart"/>
      <w:r w:rsidRPr="7A1AB6AC">
        <w:rPr>
          <w:rFonts w:ascii="Roboto" w:eastAsia="Roboto" w:hAnsi="Roboto" w:cs="Roboto"/>
          <w:i/>
          <w:iCs/>
          <w:sz w:val="22"/>
          <w:szCs w:val="22"/>
        </w:rPr>
        <w:t>significant</w:t>
      </w:r>
      <w:proofErr w:type="spellEnd"/>
      <w:r w:rsidRPr="7A1AB6AC">
        <w:rPr>
          <w:rFonts w:ascii="Roboto" w:eastAsia="Roboto" w:hAnsi="Roboto" w:cs="Roboto"/>
          <w:i/>
          <w:iCs/>
          <w:sz w:val="22"/>
          <w:szCs w:val="22"/>
        </w:rPr>
        <w:t xml:space="preserve"> </w:t>
      </w:r>
      <w:proofErr w:type="spellStart"/>
      <w:r w:rsidRPr="7A1AB6AC">
        <w:rPr>
          <w:rFonts w:ascii="Roboto" w:eastAsia="Roboto" w:hAnsi="Roboto" w:cs="Roboto"/>
          <w:i/>
          <w:iCs/>
          <w:sz w:val="22"/>
          <w:szCs w:val="22"/>
        </w:rPr>
        <w:t>harm</w:t>
      </w:r>
      <w:proofErr w:type="spellEnd"/>
      <w:r w:rsidRPr="7A1AB6AC">
        <w:rPr>
          <w:rFonts w:ascii="Roboto" w:eastAsia="Roboto" w:hAnsi="Roboto" w:cs="Roboto"/>
          <w:sz w:val="22"/>
          <w:szCs w:val="22"/>
        </w:rPr>
        <w:t>) en base a la norma UNE-EN ISO/IEC 17029 y UNE-EN ISO/IEC ISO 14065: 2021</w:t>
      </w:r>
      <w:r w:rsidR="007012AD">
        <w:rPr>
          <w:rFonts w:ascii="Roboto" w:eastAsia="Roboto" w:hAnsi="Roboto" w:cs="Roboto"/>
          <w:sz w:val="22"/>
          <w:szCs w:val="22"/>
        </w:rPr>
        <w:t>.</w:t>
      </w:r>
    </w:p>
    <w:p w14:paraId="39655558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 w:rsidRPr="7A1AB6AC">
        <w:rPr>
          <w:rFonts w:ascii="Roboto" w:eastAsia="Roboto" w:hAnsi="Roboto" w:cs="Roboto"/>
          <w:sz w:val="22"/>
          <w:szCs w:val="22"/>
        </w:rPr>
        <w:t xml:space="preserve"> </w:t>
      </w:r>
    </w:p>
    <w:p w14:paraId="195144A4" w14:textId="69A4B98D" w:rsidR="60A575FF" w:rsidRDefault="60A575FF" w:rsidP="7A1AB6AC">
      <w:pPr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A1AB6AC">
        <w:rPr>
          <w:rFonts w:ascii="Roboto" w:eastAsia="Roboto" w:hAnsi="Roboto" w:cs="Roboto"/>
          <w:color w:val="111111"/>
          <w:sz w:val="22"/>
          <w:szCs w:val="22"/>
        </w:rPr>
        <w:t>Madrid, 13 de diciembre de 2022.- La</w:t>
      </w:r>
      <w:hyperlink r:id="rId11" w:history="1">
        <w:r w:rsidRPr="7A1AB6AC">
          <w:rPr>
            <w:rStyle w:val="Hipervnculo"/>
            <w:rFonts w:ascii="Roboto" w:eastAsia="Roboto" w:hAnsi="Roboto" w:cs="Roboto"/>
            <w:b/>
            <w:bCs/>
            <w:sz w:val="22"/>
            <w:szCs w:val="22"/>
          </w:rPr>
          <w:t xml:space="preserve"> Entidad Nacional de Acreditación</w:t>
        </w:r>
      </w:hyperlink>
      <w:r w:rsidRPr="7A1AB6AC">
        <w:rPr>
          <w:rFonts w:ascii="Roboto" w:eastAsia="Roboto" w:hAnsi="Roboto" w:cs="Roboto"/>
          <w:color w:val="111111"/>
          <w:sz w:val="22"/>
          <w:szCs w:val="22"/>
        </w:rPr>
        <w:t xml:space="preserve"> (</w:t>
      </w:r>
      <w:r w:rsidRPr="7A1AB6AC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ENAC) ha actualizado recientemente su esquema de acreditación</w:t>
      </w:r>
      <w:r w:rsidRPr="7A1AB6AC">
        <w:rPr>
          <w:rFonts w:ascii="Roboto" w:eastAsia="Roboto" w:hAnsi="Roboto" w:cs="Roboto"/>
          <w:color w:val="000000" w:themeColor="text1"/>
          <w:sz w:val="22"/>
          <w:szCs w:val="22"/>
        </w:rPr>
        <w:t xml:space="preserve"> dirigido a las entidades que quieran ofrecer servicios acreditados de </w:t>
      </w:r>
      <w:r w:rsidRPr="7A1AB6AC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validación de la autoevaluación</w:t>
      </w:r>
      <w:r w:rsidRPr="7A1AB6AC">
        <w:rPr>
          <w:rFonts w:ascii="Roboto" w:eastAsia="Roboto" w:hAnsi="Roboto" w:cs="Roboto"/>
          <w:color w:val="000000" w:themeColor="text1"/>
          <w:sz w:val="22"/>
          <w:szCs w:val="22"/>
        </w:rPr>
        <w:t xml:space="preserve"> con respecto al principio de no causar un perjuicio significativo al medio ambiente (</w:t>
      </w:r>
      <w:r w:rsidRPr="7A1AB6AC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principio DNSH</w:t>
      </w:r>
      <w:r w:rsidRPr="7A1AB6AC">
        <w:rPr>
          <w:rFonts w:ascii="Roboto" w:eastAsia="Roboto" w:hAnsi="Roboto" w:cs="Roboto"/>
          <w:color w:val="000000" w:themeColor="text1"/>
          <w:sz w:val="22"/>
          <w:szCs w:val="22"/>
        </w:rPr>
        <w:t xml:space="preserve"> o </w:t>
      </w:r>
      <w:r w:rsidRPr="7A1AB6AC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do </w:t>
      </w:r>
      <w:proofErr w:type="spellStart"/>
      <w:r w:rsidRPr="7A1AB6AC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>not</w:t>
      </w:r>
      <w:proofErr w:type="spellEnd"/>
      <w:r w:rsidRPr="7A1AB6AC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 cause </w:t>
      </w:r>
      <w:proofErr w:type="spellStart"/>
      <w:r w:rsidRPr="7A1AB6AC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>significant</w:t>
      </w:r>
      <w:proofErr w:type="spellEnd"/>
      <w:r w:rsidRPr="7A1AB6AC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7A1AB6AC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>harm</w:t>
      </w:r>
      <w:proofErr w:type="spellEnd"/>
      <w:r w:rsidRPr="7A1AB6AC">
        <w:rPr>
          <w:rFonts w:ascii="Roboto" w:eastAsia="Roboto" w:hAnsi="Roboto" w:cs="Roboto"/>
          <w:color w:val="000000" w:themeColor="text1"/>
          <w:sz w:val="22"/>
          <w:szCs w:val="22"/>
        </w:rPr>
        <w:t>) en base a la norma UNE-EN ISO/IEC 17029 y UNE-EN ISO/IEC ISO 14065: 2021</w:t>
      </w:r>
      <w:r w:rsidR="007012AD">
        <w:rPr>
          <w:rFonts w:ascii="Roboto" w:eastAsia="Roboto" w:hAnsi="Roboto" w:cs="Roboto"/>
          <w:color w:val="000000" w:themeColor="text1"/>
          <w:sz w:val="22"/>
          <w:szCs w:val="22"/>
        </w:rPr>
        <w:t>.</w:t>
      </w:r>
    </w:p>
    <w:p w14:paraId="20C401C7" w14:textId="17C940F1" w:rsidR="7A1AB6AC" w:rsidRDefault="7A1AB6AC" w:rsidP="7A1AB6AC">
      <w:pPr>
        <w:jc w:val="both"/>
      </w:pPr>
    </w:p>
    <w:p w14:paraId="39655559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Esta actualización responde a la demanda existente para el uso de validadores acreditados por parte de distintos órganos de la Administración Pública, de tal forma que </w:t>
      </w:r>
      <w:r>
        <w:rPr>
          <w:rFonts w:ascii="Roboto" w:eastAsia="Roboto" w:hAnsi="Roboto" w:cs="Roboto"/>
          <w:b/>
          <w:sz w:val="22"/>
          <w:szCs w:val="22"/>
        </w:rPr>
        <w:t>se ha adaptado el esquema para que pueda ser aplicado cuando sea requerido en programas de ayudas gestionados por cualquier administración</w:t>
      </w:r>
      <w:r>
        <w:rPr>
          <w:rFonts w:ascii="Roboto" w:eastAsia="Roboto" w:hAnsi="Roboto" w:cs="Roboto"/>
          <w:sz w:val="22"/>
          <w:szCs w:val="22"/>
        </w:rPr>
        <w:t xml:space="preserve">, agencia estatal, organismo gestor de ayudas o similar, independientemente del origen de los fondos gestionados. En particular, </w:t>
      </w:r>
      <w:r>
        <w:rPr>
          <w:rFonts w:ascii="Roboto" w:eastAsia="Roboto" w:hAnsi="Roboto" w:cs="Roboto"/>
          <w:b/>
          <w:sz w:val="22"/>
          <w:szCs w:val="22"/>
        </w:rPr>
        <w:t>el Ministerio para la Transición Ecológica y el Reto Demográfico (MITERD), en el marco del impulso a la economía circular, ha comenzado recientemente a hacer uso del esquema de validación DNSH, requiriendo además una verificación acreditada</w:t>
      </w:r>
      <w:r>
        <w:rPr>
          <w:rFonts w:ascii="Roboto" w:eastAsia="Roboto" w:hAnsi="Roboto" w:cs="Roboto"/>
          <w:sz w:val="22"/>
          <w:szCs w:val="22"/>
        </w:rPr>
        <w:t xml:space="preserve"> una vez finalizada la ejecución de las actuaciones.</w:t>
      </w:r>
    </w:p>
    <w:p w14:paraId="3965555A" w14:textId="77777777" w:rsidR="00896B03" w:rsidRDefault="00896B03">
      <w:pPr>
        <w:jc w:val="both"/>
        <w:rPr>
          <w:rFonts w:ascii="Roboto" w:eastAsia="Roboto" w:hAnsi="Roboto" w:cs="Roboto"/>
          <w:sz w:val="22"/>
          <w:szCs w:val="22"/>
        </w:rPr>
      </w:pPr>
    </w:p>
    <w:p w14:paraId="3965555B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De manera específica, en el esquema </w:t>
      </w:r>
      <w:r>
        <w:rPr>
          <w:rFonts w:ascii="Roboto" w:eastAsia="Roboto" w:hAnsi="Roboto" w:cs="Roboto"/>
          <w:b/>
          <w:sz w:val="22"/>
          <w:szCs w:val="22"/>
        </w:rPr>
        <w:t>se han incorporado requisitos para los procesos de validación acreditados dentro del marco de actuación del Centro para el Desarrollo Tecnológico Industrial (CDTI)</w:t>
      </w:r>
      <w:r>
        <w:rPr>
          <w:rFonts w:ascii="Roboto" w:eastAsia="Roboto" w:hAnsi="Roboto" w:cs="Roboto"/>
          <w:sz w:val="22"/>
          <w:szCs w:val="22"/>
        </w:rPr>
        <w:t xml:space="preserve">, para ser aplicado en líneas de ayudas como la Línea Directa de expansión (LICA), Línea Directa de Innovación (LIC), Proyecto I+D, etc. Por otra parte, se ha adaptado su contenido en distintos aspectos, en particular, se flexibiliza y agiliza la ampliación de la acreditación existente mediante el mecanismo de alcance flexible bajo determinadas condiciones. </w:t>
      </w:r>
    </w:p>
    <w:p w14:paraId="3965555C" w14:textId="77777777" w:rsidR="00896B03" w:rsidRDefault="00896B03">
      <w:pPr>
        <w:jc w:val="both"/>
        <w:rPr>
          <w:rFonts w:ascii="Roboto" w:eastAsia="Roboto" w:hAnsi="Roboto" w:cs="Roboto"/>
          <w:sz w:val="22"/>
          <w:szCs w:val="22"/>
        </w:rPr>
      </w:pPr>
    </w:p>
    <w:p w14:paraId="6F5F6680" w14:textId="482183E8" w:rsidR="00896B03" w:rsidRDefault="004221F4" w:rsidP="7A1AB6AC">
      <w:pPr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7A1AB6AC">
        <w:rPr>
          <w:rFonts w:ascii="Roboto" w:eastAsia="Roboto" w:hAnsi="Roboto" w:cs="Roboto"/>
          <w:sz w:val="22"/>
          <w:szCs w:val="22"/>
        </w:rPr>
        <w:t xml:space="preserve">Hasta el momento, son </w:t>
      </w:r>
      <w:r w:rsidRPr="7A1AB6AC">
        <w:rPr>
          <w:rFonts w:ascii="Roboto" w:eastAsia="Roboto" w:hAnsi="Roboto" w:cs="Roboto"/>
          <w:b/>
          <w:bCs/>
          <w:sz w:val="22"/>
          <w:szCs w:val="22"/>
        </w:rPr>
        <w:t>seis las entidades acreditadas para ofrecer servicios de validación DNSH</w:t>
      </w:r>
      <w:r w:rsidRPr="7A1AB6AC">
        <w:rPr>
          <w:rFonts w:ascii="Roboto" w:eastAsia="Roboto" w:hAnsi="Roboto" w:cs="Roboto"/>
          <w:sz w:val="22"/>
          <w:szCs w:val="22"/>
        </w:rPr>
        <w:t xml:space="preserve"> en el marco de las convocatorias de PERTE VEC, PERTE Salud de vanguardia, Industria manufacturera y PERTE Naval. </w:t>
      </w:r>
    </w:p>
    <w:p w14:paraId="637AFCFE" w14:textId="678039E9" w:rsidR="00896B03" w:rsidRDefault="00896B03" w:rsidP="7A1AB6AC">
      <w:pPr>
        <w:jc w:val="both"/>
        <w:rPr>
          <w:rFonts w:ascii="Roboto" w:eastAsia="Roboto" w:hAnsi="Roboto" w:cs="Roboto"/>
          <w:b/>
          <w:bCs/>
          <w:sz w:val="22"/>
          <w:szCs w:val="22"/>
        </w:rPr>
      </w:pPr>
    </w:p>
    <w:p w14:paraId="3965555F" w14:textId="734AD5CB" w:rsidR="00896B03" w:rsidRDefault="004221F4" w:rsidP="7A1AB6AC">
      <w:pPr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7A1AB6AC">
        <w:rPr>
          <w:rFonts w:ascii="Roboto" w:eastAsia="Roboto" w:hAnsi="Roboto" w:cs="Roboto"/>
          <w:b/>
          <w:bCs/>
          <w:sz w:val="22"/>
          <w:szCs w:val="22"/>
        </w:rPr>
        <w:t>Validación acreditada, herramienta de apoyo a la Administración Pública</w:t>
      </w:r>
    </w:p>
    <w:p w14:paraId="39655560" w14:textId="77777777" w:rsidR="00896B03" w:rsidRDefault="00896B03">
      <w:pPr>
        <w:jc w:val="both"/>
        <w:rPr>
          <w:rFonts w:ascii="Roboto" w:eastAsia="Roboto" w:hAnsi="Roboto" w:cs="Roboto"/>
          <w:sz w:val="22"/>
          <w:szCs w:val="22"/>
        </w:rPr>
      </w:pPr>
    </w:p>
    <w:p w14:paraId="39655561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validación de DNSH acreditada aporta una confianza añadida en el contenido de las autoevaluaciones requeridas a los solicitantes de ayudas, al ser la acreditación una herramienta que permite que las administraciones y otros organismos gestores que toman decisiones vean reducido el riesgo asociado a su responsabilidad al respecto.</w:t>
      </w:r>
    </w:p>
    <w:p w14:paraId="39655562" w14:textId="77777777" w:rsidR="00896B03" w:rsidRDefault="00896B03">
      <w:pPr>
        <w:jc w:val="both"/>
        <w:rPr>
          <w:rFonts w:ascii="Roboto" w:eastAsia="Roboto" w:hAnsi="Roboto" w:cs="Roboto"/>
          <w:sz w:val="22"/>
          <w:szCs w:val="22"/>
        </w:rPr>
      </w:pPr>
    </w:p>
    <w:p w14:paraId="39655567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norma UNE-EN ISO/IEC 17029 contiene los requisitos y principios generales para la competencia, imparcialidad y funcionamiento de los organismos que realizan la validación y verificación en cualquier sector, área o ámbito de actividad, junto con la ISO/IEC 14065, que proporciona una base para evaluar y reconocer la competencia de los organismos de validación de información de carácter ambiental.</w:t>
      </w:r>
    </w:p>
    <w:p w14:paraId="39655568" w14:textId="77777777" w:rsidR="00896B03" w:rsidRDefault="00896B03">
      <w:pPr>
        <w:jc w:val="both"/>
        <w:rPr>
          <w:rFonts w:ascii="Roboto" w:eastAsia="Roboto" w:hAnsi="Roboto" w:cs="Roboto"/>
          <w:sz w:val="22"/>
          <w:szCs w:val="22"/>
        </w:rPr>
      </w:pPr>
    </w:p>
    <w:p w14:paraId="39655569" w14:textId="0FEEF95D" w:rsidR="00896B03" w:rsidRDefault="00896B03">
      <w:pPr>
        <w:jc w:val="both"/>
        <w:rPr>
          <w:rFonts w:ascii="Roboto" w:eastAsia="Roboto" w:hAnsi="Roboto" w:cs="Roboto"/>
          <w:sz w:val="22"/>
          <w:szCs w:val="22"/>
        </w:rPr>
      </w:pPr>
    </w:p>
    <w:p w14:paraId="3965556A" w14:textId="77777777" w:rsidR="00896B03" w:rsidRDefault="00896B03">
      <w:pPr>
        <w:shd w:val="clear" w:color="auto" w:fill="FFFFFF"/>
        <w:jc w:val="both"/>
        <w:rPr>
          <w:rFonts w:ascii="Roboto" w:eastAsia="Roboto" w:hAnsi="Roboto" w:cs="Roboto"/>
          <w:color w:val="111111"/>
          <w:sz w:val="22"/>
          <w:szCs w:val="22"/>
        </w:rPr>
      </w:pPr>
    </w:p>
    <w:p w14:paraId="3965556B" w14:textId="77777777" w:rsidR="00896B03" w:rsidRDefault="004221F4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3965556C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La Entidad Nacional de Acreditación – ENAC – es la entidad designada por el Gobierno para operar en España como el único Organismo Nacional de Acreditación, en aplicación del Reglamento (CE) nº765/2008 del Parlamento Europeo que regula el funcionamiento de la acreditación en Europa. </w:t>
      </w:r>
    </w:p>
    <w:p w14:paraId="3965556D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3965556E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3965556F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39655570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39655571" w14:textId="77777777" w:rsidR="00896B03" w:rsidRDefault="00896B03">
      <w:pPr>
        <w:shd w:val="clear" w:color="auto" w:fill="FFFFFF"/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</w:p>
    <w:p w14:paraId="39655572" w14:textId="77777777" w:rsidR="00896B03" w:rsidRDefault="004221F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39655573" w14:textId="77777777" w:rsidR="00896B03" w:rsidRDefault="007012AD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2">
        <w:r w:rsidR="004221F4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4221F4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39655574" w14:textId="77777777" w:rsidR="00896B03" w:rsidRDefault="00896B0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9655575" w14:textId="77777777" w:rsidR="00896B03" w:rsidRDefault="004221F4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965557F" wp14:editId="39655580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9655581" wp14:editId="39655582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55576" w14:textId="77777777" w:rsidR="00896B03" w:rsidRDefault="00896B0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9655577" w14:textId="77777777" w:rsidR="00896B03" w:rsidRDefault="00896B03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9655578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Para más información sobre la nota de prensa, resolver dudas o gestionar entrevistas</w:t>
      </w:r>
    </w:p>
    <w:p w14:paraId="39655579" w14:textId="77777777" w:rsidR="00896B03" w:rsidRDefault="004221F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3965557E" w14:textId="13FBF79B" w:rsidR="00896B03" w:rsidRDefault="004221F4" w:rsidP="007012AD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5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sectPr w:rsidR="00896B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5590" w14:textId="77777777" w:rsidR="00481761" w:rsidRDefault="004221F4">
      <w:r>
        <w:separator/>
      </w:r>
    </w:p>
  </w:endnote>
  <w:endnote w:type="continuationSeparator" w:id="0">
    <w:p w14:paraId="39655592" w14:textId="77777777" w:rsidR="00481761" w:rsidRDefault="0042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5587" w14:textId="77777777" w:rsidR="00896B03" w:rsidRDefault="00896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5588" w14:textId="5BA5AEBE" w:rsidR="00896B03" w:rsidRDefault="00422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1FC1">
      <w:rPr>
        <w:noProof/>
        <w:color w:val="000000"/>
      </w:rPr>
      <w:t>1</w:t>
    </w:r>
    <w:r>
      <w:rPr>
        <w:color w:val="000000"/>
      </w:rPr>
      <w:fldChar w:fldCharType="end"/>
    </w:r>
  </w:p>
  <w:p w14:paraId="39655589" w14:textId="77777777" w:rsidR="00896B03" w:rsidRDefault="00896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558B" w14:textId="77777777" w:rsidR="00896B03" w:rsidRDefault="00896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558C" w14:textId="77777777" w:rsidR="00481761" w:rsidRDefault="004221F4">
      <w:r>
        <w:separator/>
      </w:r>
    </w:p>
  </w:footnote>
  <w:footnote w:type="continuationSeparator" w:id="0">
    <w:p w14:paraId="3965558E" w14:textId="77777777" w:rsidR="00481761" w:rsidRDefault="0042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5583" w14:textId="77777777" w:rsidR="00896B03" w:rsidRDefault="00896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5584" w14:textId="77777777" w:rsidR="00896B03" w:rsidRDefault="004221F4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65558C" wp14:editId="3965558D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655585" w14:textId="77777777" w:rsidR="00896B03" w:rsidRDefault="004221F4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39655586" w14:textId="77777777" w:rsidR="00896B03" w:rsidRDefault="00896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558A" w14:textId="77777777" w:rsidR="00896B03" w:rsidRDefault="00896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64A3"/>
    <w:multiLevelType w:val="multilevel"/>
    <w:tmpl w:val="3CE6D3A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35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3"/>
    <w:rsid w:val="004221F4"/>
    <w:rsid w:val="00481761"/>
    <w:rsid w:val="00621FC1"/>
    <w:rsid w:val="007012AD"/>
    <w:rsid w:val="00896B03"/>
    <w:rsid w:val="02E1DDF6"/>
    <w:rsid w:val="0E68589C"/>
    <w:rsid w:val="226F5978"/>
    <w:rsid w:val="391E0A92"/>
    <w:rsid w:val="416CE476"/>
    <w:rsid w:val="60A575FF"/>
    <w:rsid w:val="7A1A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554F"/>
  <w15:docId w15:val="{179F175A-F2C9-4598-8D45-DC62BFBE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21FC1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/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nac.e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90C5F-CF38-4453-BE02-3093A6FF44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09e21e3-a2e2-47ca-be0e-9c3a9bef9292"/>
    <ds:schemaRef ds:uri="http://schemas.openxmlformats.org/package/2006/metadata/core-properties"/>
    <ds:schemaRef ds:uri="http://purl.org/dc/terms/"/>
    <ds:schemaRef ds:uri="6e290ce1-b2e7-4ccb-948d-a290ef611fa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D299D2-5E79-47A1-B685-C7CB64DC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4B2FF-EA17-435E-ADAD-355D6B6FB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5</cp:revision>
  <dcterms:created xsi:type="dcterms:W3CDTF">2022-12-12T16:35:00Z</dcterms:created>
  <dcterms:modified xsi:type="dcterms:W3CDTF">2022-12-15T08:37:00Z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